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D2" w:rsidRPr="006D1257" w:rsidRDefault="008A3DD2" w:rsidP="008A3DD2">
      <w:pPr>
        <w:jc w:val="center"/>
      </w:pPr>
      <w:r>
        <w:rPr>
          <w:noProof/>
        </w:rPr>
        <w:drawing>
          <wp:inline distT="0" distB="0" distL="0" distR="0" wp14:anchorId="5C0B0F21" wp14:editId="2F5059E1">
            <wp:extent cx="657225" cy="8286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D2" w:rsidRDefault="008A3DD2" w:rsidP="008A3DD2">
      <w:pPr>
        <w:jc w:val="center"/>
      </w:pPr>
    </w:p>
    <w:p w:rsidR="008A3DD2" w:rsidRDefault="008A3DD2" w:rsidP="008A3DD2">
      <w:pPr>
        <w:jc w:val="center"/>
        <w:rPr>
          <w:b/>
          <w:sz w:val="38"/>
        </w:rPr>
      </w:pPr>
      <w:r>
        <w:rPr>
          <w:b/>
          <w:sz w:val="38"/>
        </w:rPr>
        <w:t xml:space="preserve">Администрация </w:t>
      </w:r>
    </w:p>
    <w:p w:rsidR="008A3DD2" w:rsidRDefault="008A3DD2" w:rsidP="008A3DD2">
      <w:pPr>
        <w:jc w:val="center"/>
        <w:rPr>
          <w:b/>
          <w:sz w:val="38"/>
        </w:rPr>
      </w:pPr>
      <w:r>
        <w:rPr>
          <w:b/>
          <w:sz w:val="38"/>
        </w:rPr>
        <w:t>городского округа Кинешма</w:t>
      </w:r>
    </w:p>
    <w:p w:rsidR="008A3DD2" w:rsidRDefault="008A3DD2" w:rsidP="008A3DD2">
      <w:pPr>
        <w:jc w:val="center"/>
        <w:rPr>
          <w:sz w:val="24"/>
          <w:szCs w:val="24"/>
        </w:rPr>
      </w:pPr>
    </w:p>
    <w:p w:rsidR="008A3DD2" w:rsidRDefault="008A3DD2" w:rsidP="008A3DD2">
      <w:pPr>
        <w:jc w:val="center"/>
        <w:rPr>
          <w:sz w:val="24"/>
          <w:szCs w:val="24"/>
        </w:rPr>
      </w:pPr>
      <w:r w:rsidRPr="003417E4">
        <w:rPr>
          <w:sz w:val="24"/>
          <w:szCs w:val="24"/>
        </w:rPr>
        <w:t>155800, Ивановск</w:t>
      </w:r>
      <w:r>
        <w:rPr>
          <w:sz w:val="24"/>
          <w:szCs w:val="24"/>
        </w:rPr>
        <w:t>ая</w:t>
      </w:r>
      <w:r w:rsidRPr="003417E4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ь</w:t>
      </w:r>
      <w:r w:rsidRPr="003417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Кинешма, </w:t>
      </w:r>
      <w:r w:rsidRPr="003417E4"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рунзе</w:t>
      </w:r>
      <w:proofErr w:type="spellEnd"/>
      <w:r>
        <w:rPr>
          <w:sz w:val="24"/>
          <w:szCs w:val="24"/>
        </w:rPr>
        <w:t>,</w:t>
      </w:r>
      <w:r w:rsidRPr="003417E4">
        <w:rPr>
          <w:sz w:val="24"/>
          <w:szCs w:val="24"/>
        </w:rPr>
        <w:t xml:space="preserve"> д. 4</w:t>
      </w:r>
      <w:r>
        <w:rPr>
          <w:sz w:val="24"/>
          <w:szCs w:val="24"/>
        </w:rPr>
        <w:t xml:space="preserve">. </w:t>
      </w:r>
    </w:p>
    <w:p w:rsidR="008A3DD2" w:rsidRPr="004A3A1D" w:rsidRDefault="008A3DD2" w:rsidP="008A3DD2">
      <w:pPr>
        <w:jc w:val="center"/>
        <w:rPr>
          <w:sz w:val="24"/>
          <w:szCs w:val="24"/>
        </w:rPr>
      </w:pPr>
      <w:r w:rsidRPr="003417E4">
        <w:rPr>
          <w:sz w:val="24"/>
          <w:szCs w:val="24"/>
        </w:rPr>
        <w:t>Тел</w:t>
      </w:r>
      <w:r w:rsidRPr="004A3A1D">
        <w:rPr>
          <w:sz w:val="24"/>
          <w:szCs w:val="24"/>
        </w:rPr>
        <w:t>. (49331)</w:t>
      </w:r>
      <w:r w:rsidRPr="002C1011">
        <w:rPr>
          <w:sz w:val="24"/>
          <w:szCs w:val="24"/>
        </w:rPr>
        <w:t xml:space="preserve"> </w:t>
      </w:r>
      <w:r w:rsidRPr="004A3A1D">
        <w:rPr>
          <w:sz w:val="24"/>
          <w:szCs w:val="24"/>
        </w:rPr>
        <w:t>5-30-50</w:t>
      </w:r>
      <w:proofErr w:type="gramStart"/>
      <w:r w:rsidRPr="004A3A1D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ел./факс (49331)</w:t>
      </w:r>
      <w:r w:rsidRPr="003B01E2">
        <w:rPr>
          <w:sz w:val="24"/>
          <w:szCs w:val="24"/>
        </w:rPr>
        <w:t xml:space="preserve"> </w:t>
      </w:r>
      <w:r>
        <w:rPr>
          <w:sz w:val="24"/>
          <w:szCs w:val="24"/>
        </w:rPr>
        <w:t>5-30-86</w:t>
      </w:r>
      <w:r w:rsidRPr="004A3A1D">
        <w:rPr>
          <w:sz w:val="24"/>
          <w:szCs w:val="24"/>
        </w:rPr>
        <w:t xml:space="preserve">   </w:t>
      </w:r>
      <w:r w:rsidRPr="004A3A1D">
        <w:rPr>
          <w:sz w:val="24"/>
          <w:szCs w:val="24"/>
          <w:lang w:val="en-US"/>
        </w:rPr>
        <w:t>e</w:t>
      </w:r>
      <w:r w:rsidRPr="004A3A1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A3A1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 w:rsidRPr="004A3A1D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admkineshma</w:t>
      </w:r>
      <w:proofErr w:type="spellEnd"/>
      <w:r w:rsidRPr="004A3A1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A3DD2" w:rsidRPr="004A3A1D" w:rsidRDefault="008A3DD2" w:rsidP="008A3DD2">
      <w:pPr>
        <w:tabs>
          <w:tab w:val="center" w:pos="4677"/>
          <w:tab w:val="left" w:pos="7380"/>
        </w:tabs>
        <w:rPr>
          <w:sz w:val="32"/>
        </w:rPr>
      </w:pPr>
      <w:r w:rsidRPr="004A3A1D">
        <w:rPr>
          <w:sz w:val="32"/>
        </w:rPr>
        <w:tab/>
      </w:r>
      <w:r w:rsidR="005A67C6">
        <w:rPr>
          <w:noProof/>
          <w:sz w:val="32"/>
        </w:rPr>
        <w:pict>
          <v:line id="_x0000_s1027" style="position:absolute;z-index:251660288;mso-position-horizontal-relative:text;mso-position-vertical-relative:text" from="12pt,11.8pt" to="438pt,11.8pt" strokeweight="2.25pt"/>
        </w:pict>
      </w:r>
      <w:r w:rsidR="005A67C6">
        <w:rPr>
          <w:noProof/>
          <w:sz w:val="32"/>
        </w:rPr>
        <w:pict>
          <v:line id="_x0000_s1026" style="position:absolute;z-index:251659264;mso-position-horizontal-relative:text;mso-position-vertical-relative:text" from="12pt,7.8pt" to="438pt,7.8pt"/>
        </w:pict>
      </w:r>
      <w:r w:rsidRPr="004A3A1D">
        <w:rPr>
          <w:sz w:val="32"/>
        </w:rPr>
        <w:tab/>
      </w:r>
    </w:p>
    <w:p w:rsidR="008A3DD2" w:rsidRPr="00305D08" w:rsidRDefault="008A3DD2" w:rsidP="008A3DD2">
      <w:pPr>
        <w:jc w:val="center"/>
        <w:rPr>
          <w:sz w:val="24"/>
          <w:szCs w:val="24"/>
        </w:rPr>
      </w:pPr>
      <w:r w:rsidRPr="00305D08">
        <w:rPr>
          <w:sz w:val="24"/>
          <w:szCs w:val="24"/>
        </w:rPr>
        <w:t>от ______________________   №__________</w:t>
      </w:r>
    </w:p>
    <w:p w:rsidR="008A3DD2" w:rsidRDefault="008A3DD2" w:rsidP="004E29BC">
      <w:pPr>
        <w:tabs>
          <w:tab w:val="left" w:pos="4860"/>
        </w:tabs>
        <w:jc w:val="center"/>
        <w:rPr>
          <w:b/>
        </w:rPr>
      </w:pPr>
    </w:p>
    <w:p w:rsidR="004E29BC" w:rsidRPr="00964E94" w:rsidRDefault="004E29BC" w:rsidP="004E29BC">
      <w:pPr>
        <w:tabs>
          <w:tab w:val="left" w:pos="4860"/>
        </w:tabs>
        <w:jc w:val="center"/>
        <w:rPr>
          <w:b/>
        </w:rPr>
      </w:pPr>
      <w:r w:rsidRPr="00964E94">
        <w:rPr>
          <w:b/>
        </w:rPr>
        <w:t>ПОЯСНИТЕЛЬНАЯ ЗАПИСКА</w:t>
      </w:r>
    </w:p>
    <w:p w:rsidR="004E29BC" w:rsidRPr="00964E94" w:rsidRDefault="004E29BC" w:rsidP="004E29BC">
      <w:pPr>
        <w:jc w:val="center"/>
        <w:rPr>
          <w:b/>
        </w:rPr>
      </w:pPr>
      <w:r w:rsidRPr="00964E94">
        <w:rPr>
          <w:b/>
        </w:rPr>
        <w:t>к проекту решения городской Думы</w:t>
      </w:r>
      <w:r>
        <w:rPr>
          <w:b/>
        </w:rPr>
        <w:t xml:space="preserve"> городского округа Кинешма</w:t>
      </w:r>
    </w:p>
    <w:p w:rsidR="004E29BC" w:rsidRDefault="004E29BC" w:rsidP="004E29BC">
      <w:pPr>
        <w:jc w:val="center"/>
        <w:rPr>
          <w:b/>
        </w:rPr>
      </w:pPr>
      <w:r w:rsidRPr="00964E94">
        <w:rPr>
          <w:b/>
        </w:rPr>
        <w:t xml:space="preserve">«О бюджете городского округа Кинешма </w:t>
      </w:r>
    </w:p>
    <w:p w:rsidR="004E29BC" w:rsidRPr="00AE6D3B" w:rsidRDefault="004E29BC" w:rsidP="004E29BC">
      <w:pPr>
        <w:jc w:val="center"/>
        <w:rPr>
          <w:b/>
        </w:rPr>
      </w:pPr>
      <w:r w:rsidRPr="00AE6D3B">
        <w:rPr>
          <w:b/>
        </w:rPr>
        <w:t>на 20</w:t>
      </w:r>
      <w:r w:rsidR="009278D5">
        <w:rPr>
          <w:b/>
        </w:rPr>
        <w:t>2</w:t>
      </w:r>
      <w:r w:rsidR="008A3DD2">
        <w:rPr>
          <w:b/>
        </w:rPr>
        <w:t>2</w:t>
      </w:r>
      <w:r w:rsidRPr="00AE6D3B">
        <w:rPr>
          <w:b/>
        </w:rPr>
        <w:t xml:space="preserve"> год и плановый период 20</w:t>
      </w:r>
      <w:r w:rsidR="006B2B11">
        <w:rPr>
          <w:b/>
        </w:rPr>
        <w:t>2</w:t>
      </w:r>
      <w:r w:rsidR="008A3DD2">
        <w:rPr>
          <w:b/>
        </w:rPr>
        <w:t>3</w:t>
      </w:r>
      <w:r w:rsidRPr="00AE6D3B">
        <w:rPr>
          <w:b/>
        </w:rPr>
        <w:t xml:space="preserve"> и 20</w:t>
      </w:r>
      <w:r w:rsidR="00BF3562" w:rsidRPr="00AE6D3B">
        <w:rPr>
          <w:b/>
        </w:rPr>
        <w:t>2</w:t>
      </w:r>
      <w:r w:rsidR="008A3DD2">
        <w:rPr>
          <w:b/>
        </w:rPr>
        <w:t>4</w:t>
      </w:r>
      <w:r w:rsidRPr="00AE6D3B">
        <w:rPr>
          <w:b/>
        </w:rPr>
        <w:t xml:space="preserve"> годов»</w:t>
      </w:r>
      <w:r w:rsidR="0063228A" w:rsidRPr="00AE6D3B">
        <w:rPr>
          <w:b/>
        </w:rPr>
        <w:t xml:space="preserve">    </w:t>
      </w:r>
    </w:p>
    <w:p w:rsidR="004E29BC" w:rsidRPr="00BF3562" w:rsidRDefault="004E29BC" w:rsidP="004E29BC">
      <w:pPr>
        <w:jc w:val="center"/>
        <w:rPr>
          <w:b/>
          <w:color w:val="FF0000"/>
        </w:rPr>
      </w:pPr>
    </w:p>
    <w:p w:rsidR="004E29BC" w:rsidRPr="00AE6D3B" w:rsidRDefault="004E29BC" w:rsidP="004E29BC">
      <w:pPr>
        <w:ind w:firstLine="708"/>
        <w:jc w:val="both"/>
      </w:pPr>
      <w:proofErr w:type="gramStart"/>
      <w:r w:rsidRPr="00AE6D3B">
        <w:t>Проект решения городской Думы городского округа Кинешма «О бюджете городского округа Кинешма на 20</w:t>
      </w:r>
      <w:r w:rsidR="009278D5">
        <w:t>2</w:t>
      </w:r>
      <w:r w:rsidR="008A3DD2">
        <w:t>2</w:t>
      </w:r>
      <w:r w:rsidRPr="00AE6D3B">
        <w:t xml:space="preserve"> год и плановый период 20</w:t>
      </w:r>
      <w:r w:rsidR="006B2B11">
        <w:t>2</w:t>
      </w:r>
      <w:r w:rsidR="008A3DD2">
        <w:t>3</w:t>
      </w:r>
      <w:r w:rsidRPr="00AE6D3B">
        <w:t xml:space="preserve"> и 20</w:t>
      </w:r>
      <w:r w:rsidR="00AE6D3B" w:rsidRPr="00AE6D3B">
        <w:t>2</w:t>
      </w:r>
      <w:r w:rsidR="008A3DD2">
        <w:t>4</w:t>
      </w:r>
      <w:r w:rsidRPr="00AE6D3B">
        <w:t xml:space="preserve"> годов» (далее – проект решения о бюджете) подготовлен в соответствии с требованиями Бюджетного кодекса Российской Федерации, решения Кинешемской городской Думы от 21.07.2010 № 8/63 «О бюджетном процессе в городском округе Кинешма» (далее – решение о бюджетном процессе) и действующим налоговым законодательством.</w:t>
      </w:r>
      <w:proofErr w:type="gramEnd"/>
    </w:p>
    <w:p w:rsidR="004E29BC" w:rsidRPr="00AE6D3B" w:rsidRDefault="004E29BC" w:rsidP="004E29BC">
      <w:pPr>
        <w:ind w:firstLine="708"/>
        <w:jc w:val="both"/>
      </w:pPr>
      <w:r w:rsidRPr="00AE6D3B">
        <w:t xml:space="preserve">Общие требования к структуре и содержанию проекта решения о бюджете установлены </w:t>
      </w:r>
      <w:r w:rsidRPr="00BE5B2F">
        <w:t>статьей 184.1 Бюджетного</w:t>
      </w:r>
      <w:r w:rsidRPr="00AE6D3B">
        <w:t xml:space="preserve"> кодекса Российской Федерации и пунктом 14 Положения о бюджетном процессе в городском округе Кинешма.</w:t>
      </w:r>
    </w:p>
    <w:p w:rsidR="004E29BC" w:rsidRPr="00AE6D3B" w:rsidRDefault="004E29BC" w:rsidP="004E29BC">
      <w:pPr>
        <w:jc w:val="both"/>
      </w:pPr>
      <w:r w:rsidRPr="00BF3562">
        <w:rPr>
          <w:color w:val="FF0000"/>
        </w:rPr>
        <w:tab/>
      </w:r>
      <w:r w:rsidRPr="00AE6D3B">
        <w:t>Пунктом 1 статьи 184.1 Бюджетного кодекса Российской Федерации установлен перечень основных характеристик бюджета, утвержденных решением о бюджете (общий объем доходов, общий объем расходов, дефицит бюджета).</w:t>
      </w:r>
    </w:p>
    <w:p w:rsidR="004E29BC" w:rsidRPr="00AE6D3B" w:rsidRDefault="004E29BC" w:rsidP="004E29BC">
      <w:pPr>
        <w:jc w:val="both"/>
      </w:pPr>
      <w:r w:rsidRPr="00BF3562">
        <w:rPr>
          <w:color w:val="FF0000"/>
        </w:rPr>
        <w:tab/>
      </w:r>
      <w:r w:rsidRPr="00AE6D3B">
        <w:t>В пункте 1 проекта решения о бюджете представлены все указанные параметры бюджета городского округа Кинешма.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>В соответствии с пунктом 3 статьи 184.1 Бюджетного кодекса Российской Федерации и пунктом 14 решения о бюджетном процессе в проекте решения о бюджете предлагаются к утверждению: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4</w:t>
      </w:r>
      <w:r w:rsidRPr="00AE6D3B">
        <w:rPr>
          <w:rFonts w:ascii="Times New Roman" w:hAnsi="Times New Roman"/>
          <w:sz w:val="28"/>
          <w:szCs w:val="28"/>
        </w:rPr>
        <w:t xml:space="preserve"> и приложении 1 к проекту – показатели доходов бюджета городского округа Кинешма по кодам бюджетной классификации доходов;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5</w:t>
      </w:r>
      <w:r w:rsidRPr="00AE6D3B">
        <w:rPr>
          <w:rFonts w:ascii="Times New Roman" w:hAnsi="Times New Roman"/>
          <w:sz w:val="28"/>
          <w:szCs w:val="28"/>
        </w:rPr>
        <w:t xml:space="preserve"> и приложении 2 к проекту – перечень главных администраторов доходов бюджета городского округа Кинешма с указанием объема закрепленных за ними доходов бюджета городского округа Кинешма в разрезе кодов классификации доходов бюджета;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6</w:t>
      </w:r>
      <w:r w:rsidRPr="00AE6D3B">
        <w:rPr>
          <w:rFonts w:ascii="Times New Roman" w:hAnsi="Times New Roman"/>
          <w:sz w:val="28"/>
          <w:szCs w:val="28"/>
        </w:rPr>
        <w:t xml:space="preserve"> и приложении 3 к проекту - перечень главных </w:t>
      </w:r>
      <w:proofErr w:type="gramStart"/>
      <w:r w:rsidRPr="00AE6D3B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 w:rsidRPr="00AE6D3B">
        <w:rPr>
          <w:rFonts w:ascii="Times New Roman" w:hAnsi="Times New Roman"/>
          <w:sz w:val="28"/>
          <w:szCs w:val="28"/>
        </w:rPr>
        <w:t xml:space="preserve"> Кинешма с указанием объемов администрируемых источников </w:t>
      </w:r>
      <w:r w:rsidRPr="00AE6D3B">
        <w:rPr>
          <w:rFonts w:ascii="Times New Roman" w:hAnsi="Times New Roman"/>
          <w:sz w:val="28"/>
          <w:szCs w:val="28"/>
        </w:rPr>
        <w:lastRenderedPageBreak/>
        <w:t>финансирования дефицита бюджета городского округа Кинешма по кодам классификации источников финансирования дефицита бюджета;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7</w:t>
      </w:r>
      <w:r w:rsidRPr="00AE6D3B">
        <w:rPr>
          <w:rFonts w:ascii="Times New Roman" w:hAnsi="Times New Roman"/>
          <w:sz w:val="28"/>
          <w:szCs w:val="28"/>
        </w:rPr>
        <w:t xml:space="preserve"> и приложении 4 к проекту - распределение бюджетных ассигнований по разделам, подразделам и целевым статьям муниципальных программ и непрограммным направлениям деятельности, группам </w:t>
      </w:r>
      <w:proofErr w:type="gramStart"/>
      <w:r w:rsidRPr="00AE6D3B">
        <w:rPr>
          <w:rFonts w:ascii="Times New Roman" w:hAnsi="Times New Roman"/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Pr="00AE6D3B">
        <w:rPr>
          <w:rFonts w:ascii="Times New Roman" w:hAnsi="Times New Roman"/>
          <w:sz w:val="28"/>
          <w:szCs w:val="28"/>
        </w:rPr>
        <w:t xml:space="preserve"> Кинешма;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8</w:t>
      </w:r>
      <w:r w:rsidRPr="00AE6D3B">
        <w:rPr>
          <w:rFonts w:ascii="Times New Roman" w:hAnsi="Times New Roman"/>
          <w:sz w:val="28"/>
          <w:szCs w:val="28"/>
        </w:rPr>
        <w:t xml:space="preserve"> и приложении 5 к проекту –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городского округа Кинешма;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9</w:t>
      </w:r>
      <w:r w:rsidRPr="00AE6D3B">
        <w:rPr>
          <w:rFonts w:ascii="Times New Roman" w:hAnsi="Times New Roman"/>
          <w:sz w:val="28"/>
          <w:szCs w:val="28"/>
        </w:rPr>
        <w:t xml:space="preserve"> - </w:t>
      </w:r>
      <w:r w:rsidRPr="00AE6D3B">
        <w:rPr>
          <w:rFonts w:ascii="Times New Roman" w:hAnsi="Times New Roman"/>
          <w:bCs/>
          <w:sz w:val="28"/>
          <w:szCs w:val="28"/>
        </w:rPr>
        <w:t>общий объем бюджетных ассигнований, направленных на исполнение публичных нормативных обязательств;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 xml:space="preserve">в пункте </w:t>
      </w:r>
      <w:r w:rsidR="00E87F98">
        <w:rPr>
          <w:rFonts w:ascii="Times New Roman" w:hAnsi="Times New Roman"/>
          <w:sz w:val="28"/>
          <w:szCs w:val="28"/>
        </w:rPr>
        <w:t>10</w:t>
      </w:r>
      <w:r w:rsidRPr="00AE6D3B">
        <w:rPr>
          <w:rFonts w:ascii="Times New Roman" w:hAnsi="Times New Roman"/>
          <w:sz w:val="28"/>
          <w:szCs w:val="28"/>
        </w:rPr>
        <w:t xml:space="preserve"> - объем межбюджетных трансфертов, получаемых из областного бюджета;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>в пункте 1</w:t>
      </w:r>
      <w:r w:rsidR="00E87F98">
        <w:rPr>
          <w:rFonts w:ascii="Times New Roman" w:hAnsi="Times New Roman"/>
          <w:sz w:val="28"/>
          <w:szCs w:val="28"/>
        </w:rPr>
        <w:t>1</w:t>
      </w:r>
      <w:r w:rsidRPr="00AE6D3B">
        <w:rPr>
          <w:rFonts w:ascii="Times New Roman" w:hAnsi="Times New Roman"/>
          <w:sz w:val="28"/>
          <w:szCs w:val="28"/>
        </w:rPr>
        <w:t xml:space="preserve"> и приложении 6 к проекту – источники финансирования дефицита бюджета городского округа Кинешма;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>в абзаце втором пункта 1</w:t>
      </w:r>
      <w:r w:rsidR="00E87F98">
        <w:rPr>
          <w:rFonts w:ascii="Times New Roman" w:hAnsi="Times New Roman"/>
          <w:sz w:val="28"/>
          <w:szCs w:val="28"/>
        </w:rPr>
        <w:t>1</w:t>
      </w:r>
      <w:r w:rsidRPr="00AE6D3B">
        <w:rPr>
          <w:rFonts w:ascii="Times New Roman" w:hAnsi="Times New Roman"/>
          <w:sz w:val="28"/>
          <w:szCs w:val="28"/>
        </w:rPr>
        <w:t xml:space="preserve"> – остатки средств на счете бюджета городского округа Кинешма на начало текущего финансового года, которые могут быть направлены на покрытие временных кассовых разрывов на основании статьи 96 Бюджетного кодекса Российской Федерации;</w:t>
      </w:r>
    </w:p>
    <w:p w:rsidR="004E29BC" w:rsidRPr="00AE6D3B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BF356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AE6D3B">
        <w:rPr>
          <w:rFonts w:ascii="Times New Roman" w:hAnsi="Times New Roman"/>
          <w:bCs/>
          <w:sz w:val="28"/>
          <w:szCs w:val="28"/>
        </w:rPr>
        <w:t>в пункте 1</w:t>
      </w:r>
      <w:r w:rsidR="00E87F98">
        <w:rPr>
          <w:rFonts w:ascii="Times New Roman" w:hAnsi="Times New Roman"/>
          <w:bCs/>
          <w:sz w:val="28"/>
          <w:szCs w:val="28"/>
        </w:rPr>
        <w:t>2</w:t>
      </w:r>
      <w:r w:rsidRPr="00AE6D3B">
        <w:rPr>
          <w:rFonts w:ascii="Times New Roman" w:hAnsi="Times New Roman"/>
          <w:bCs/>
          <w:sz w:val="28"/>
          <w:szCs w:val="28"/>
        </w:rPr>
        <w:t xml:space="preserve"> - верхний предел муниципального долга городского округа Кинешма на основании части 6 статьи 107 </w:t>
      </w:r>
      <w:r w:rsidRPr="00AE6D3B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AE6D3B">
        <w:rPr>
          <w:rFonts w:ascii="Times New Roman" w:hAnsi="Times New Roman"/>
          <w:bCs/>
          <w:sz w:val="28"/>
          <w:szCs w:val="28"/>
        </w:rPr>
        <w:t>.</w:t>
      </w:r>
    </w:p>
    <w:p w:rsidR="004E29BC" w:rsidRPr="00AE6D3B" w:rsidRDefault="004E29BC" w:rsidP="004E29BC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sz w:val="28"/>
          <w:szCs w:val="28"/>
        </w:rPr>
        <w:t>В состав иных показателей бюджета городского округа Кинешма включаются:</w:t>
      </w:r>
    </w:p>
    <w:p w:rsidR="004E29BC" w:rsidRPr="00AE6D3B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E6D3B">
        <w:rPr>
          <w:rFonts w:ascii="Times New Roman" w:hAnsi="Times New Roman"/>
          <w:bCs/>
          <w:sz w:val="28"/>
          <w:szCs w:val="28"/>
        </w:rPr>
        <w:tab/>
        <w:t>в пункте 1</w:t>
      </w:r>
      <w:r w:rsidR="00E87F98">
        <w:rPr>
          <w:rFonts w:ascii="Times New Roman" w:hAnsi="Times New Roman"/>
          <w:bCs/>
          <w:sz w:val="28"/>
          <w:szCs w:val="28"/>
        </w:rPr>
        <w:t>3</w:t>
      </w:r>
      <w:r w:rsidRPr="00AE6D3B">
        <w:rPr>
          <w:rFonts w:ascii="Times New Roman" w:hAnsi="Times New Roman"/>
          <w:bCs/>
          <w:sz w:val="28"/>
          <w:szCs w:val="28"/>
        </w:rPr>
        <w:t xml:space="preserve"> – размер резервного фонда администрации городского округа Кинешма</w:t>
      </w:r>
      <w:r w:rsidRPr="00AE6D3B">
        <w:rPr>
          <w:rFonts w:ascii="Times New Roman" w:hAnsi="Times New Roman"/>
          <w:sz w:val="28"/>
          <w:szCs w:val="28"/>
        </w:rPr>
        <w:t xml:space="preserve"> на основании части 3 статьи 81 Бюджетного кодекса Российской Федерации;</w:t>
      </w:r>
    </w:p>
    <w:p w:rsidR="004E29BC" w:rsidRPr="00E76514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BF3562">
        <w:rPr>
          <w:rFonts w:ascii="Times New Roman" w:hAnsi="Times New Roman"/>
          <w:color w:val="FF0000"/>
          <w:sz w:val="28"/>
          <w:szCs w:val="28"/>
        </w:rPr>
        <w:tab/>
      </w:r>
      <w:r w:rsidRPr="00E76514">
        <w:rPr>
          <w:rFonts w:ascii="Times New Roman" w:hAnsi="Times New Roman"/>
          <w:sz w:val="28"/>
          <w:szCs w:val="28"/>
        </w:rPr>
        <w:t>в пункте 1</w:t>
      </w:r>
      <w:r w:rsidR="00E87F98">
        <w:rPr>
          <w:rFonts w:ascii="Times New Roman" w:hAnsi="Times New Roman"/>
          <w:sz w:val="28"/>
          <w:szCs w:val="28"/>
        </w:rPr>
        <w:t>4</w:t>
      </w:r>
      <w:r w:rsidRPr="00E76514">
        <w:rPr>
          <w:rFonts w:ascii="Times New Roman" w:hAnsi="Times New Roman"/>
          <w:sz w:val="28"/>
          <w:szCs w:val="28"/>
        </w:rPr>
        <w:t xml:space="preserve"> – утверждение объема бюджетных ассигнований муниципального дорожного фонда в соответствии с частью 5 статьи 179.4 Бюджетного кодекса Российской Федерации;</w:t>
      </w:r>
    </w:p>
    <w:p w:rsidR="004E29BC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BF3562">
        <w:rPr>
          <w:rFonts w:ascii="Times New Roman" w:hAnsi="Times New Roman"/>
          <w:color w:val="FF0000"/>
          <w:sz w:val="28"/>
          <w:szCs w:val="28"/>
        </w:rPr>
        <w:tab/>
      </w:r>
      <w:r w:rsidRPr="00E76514">
        <w:rPr>
          <w:rFonts w:ascii="Times New Roman" w:hAnsi="Times New Roman"/>
          <w:sz w:val="28"/>
          <w:szCs w:val="28"/>
        </w:rPr>
        <w:t>в пункте 1</w:t>
      </w:r>
      <w:r w:rsidR="00E76514" w:rsidRPr="00E76514">
        <w:rPr>
          <w:rFonts w:ascii="Times New Roman" w:hAnsi="Times New Roman"/>
          <w:sz w:val="28"/>
          <w:szCs w:val="28"/>
        </w:rPr>
        <w:t>4</w:t>
      </w:r>
      <w:r w:rsidRPr="00E76514">
        <w:rPr>
          <w:rFonts w:ascii="Times New Roman" w:hAnsi="Times New Roman"/>
          <w:sz w:val="28"/>
          <w:szCs w:val="28"/>
        </w:rPr>
        <w:t xml:space="preserve"> – предельный объем </w:t>
      </w:r>
      <w:r w:rsidRPr="00E76514">
        <w:rPr>
          <w:rFonts w:ascii="Times New Roman" w:hAnsi="Times New Roman"/>
          <w:bCs/>
          <w:sz w:val="28"/>
          <w:szCs w:val="28"/>
        </w:rPr>
        <w:t>муниципального долга городского округа Кинешма на основании части 3 статьи 107 Бюджетного кодекса Российской Федерации;</w:t>
      </w:r>
    </w:p>
    <w:p w:rsidR="00E87F98" w:rsidRPr="00E76514" w:rsidRDefault="00E87F98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пункте 15 - </w:t>
      </w:r>
      <w:r w:rsidRPr="0077069B">
        <w:rPr>
          <w:rFonts w:ascii="Times New Roman" w:hAnsi="Times New Roman"/>
          <w:sz w:val="28"/>
          <w:szCs w:val="28"/>
        </w:rPr>
        <w:t>предельный объем муниципального долга городского округа Кинешма</w:t>
      </w:r>
      <w:r>
        <w:rPr>
          <w:rFonts w:ascii="Times New Roman" w:hAnsi="Times New Roman"/>
          <w:sz w:val="28"/>
          <w:szCs w:val="28"/>
        </w:rPr>
        <w:t>;</w:t>
      </w:r>
    </w:p>
    <w:p w:rsidR="004E29BC" w:rsidRPr="00E76514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BF3562">
        <w:rPr>
          <w:rFonts w:ascii="Times New Roman" w:hAnsi="Times New Roman"/>
          <w:bCs/>
          <w:color w:val="FF0000"/>
          <w:sz w:val="28"/>
          <w:szCs w:val="28"/>
        </w:rPr>
        <w:tab/>
      </w:r>
      <w:r w:rsidRPr="00E76514">
        <w:rPr>
          <w:rFonts w:ascii="Times New Roman" w:hAnsi="Times New Roman"/>
          <w:bCs/>
          <w:sz w:val="28"/>
          <w:szCs w:val="28"/>
        </w:rPr>
        <w:t>в пункте 1</w:t>
      </w:r>
      <w:r w:rsidR="00E87F98">
        <w:rPr>
          <w:rFonts w:ascii="Times New Roman" w:hAnsi="Times New Roman"/>
          <w:bCs/>
          <w:sz w:val="28"/>
          <w:szCs w:val="28"/>
        </w:rPr>
        <w:t>6</w:t>
      </w:r>
      <w:r w:rsidRPr="00E76514">
        <w:rPr>
          <w:rFonts w:ascii="Times New Roman" w:hAnsi="Times New Roman"/>
          <w:bCs/>
          <w:sz w:val="28"/>
          <w:szCs w:val="28"/>
        </w:rPr>
        <w:t xml:space="preserve"> –</w:t>
      </w:r>
      <w:r w:rsidR="00A37279">
        <w:rPr>
          <w:rFonts w:ascii="Times New Roman" w:hAnsi="Times New Roman"/>
          <w:bCs/>
          <w:sz w:val="28"/>
          <w:szCs w:val="28"/>
        </w:rPr>
        <w:t xml:space="preserve"> </w:t>
      </w:r>
      <w:r w:rsidRPr="00E76514">
        <w:rPr>
          <w:rFonts w:ascii="Times New Roman" w:hAnsi="Times New Roman"/>
          <w:bCs/>
          <w:sz w:val="28"/>
          <w:szCs w:val="28"/>
        </w:rPr>
        <w:t>объем расходов на обслуживание муниципального долга городского округа Кинешма на основании статьи 111 Бюджетного кодекса Российской Федерации;</w:t>
      </w:r>
    </w:p>
    <w:p w:rsidR="00A37279" w:rsidRDefault="004E29BC" w:rsidP="00E87F98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E76514">
        <w:t>в пункт</w:t>
      </w:r>
      <w:r w:rsidR="00A37279">
        <w:t>е</w:t>
      </w:r>
      <w:r w:rsidRPr="00E76514">
        <w:t xml:space="preserve"> 1</w:t>
      </w:r>
      <w:r w:rsidR="00E87F98">
        <w:t>7</w:t>
      </w:r>
      <w:r w:rsidRPr="00E76514">
        <w:t xml:space="preserve"> установление правовой основы предоставления субсидий </w:t>
      </w:r>
      <w:r w:rsidR="00E87F98" w:rsidRPr="00E914FE">
        <w:rPr>
          <w:rFonts w:eastAsiaTheme="minorHAnsi"/>
          <w:lang w:eastAsia="en-US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городского округа Кинешма осуществляется в порядках, установленных администрацией городского округа Кинешма, в случаях, если расходы на их предоставление предусмотрены муниципальными программами городского округа Кинешма</w:t>
      </w:r>
      <w:r w:rsidR="00E87F98">
        <w:rPr>
          <w:rFonts w:eastAsiaTheme="minorHAnsi"/>
          <w:lang w:eastAsia="en-US"/>
        </w:rPr>
        <w:t xml:space="preserve"> и </w:t>
      </w:r>
      <w:r w:rsidR="00E87F98" w:rsidRPr="00E914FE">
        <w:rPr>
          <w:rFonts w:eastAsiaTheme="minorHAnsi"/>
          <w:lang w:eastAsia="en-US"/>
        </w:rPr>
        <w:t xml:space="preserve">иным некоммерческим организациям, не являющимся </w:t>
      </w:r>
      <w:r w:rsidR="00E87F98" w:rsidRPr="00E914FE">
        <w:rPr>
          <w:rFonts w:eastAsiaTheme="minorHAnsi"/>
          <w:lang w:eastAsia="en-US"/>
        </w:rPr>
        <w:lastRenderedPageBreak/>
        <w:t>муниципальными учреждениями, предоставление субсидий из бюджета городского округа</w:t>
      </w:r>
      <w:proofErr w:type="gramEnd"/>
      <w:r w:rsidR="00E87F98" w:rsidRPr="00E914FE">
        <w:rPr>
          <w:rFonts w:eastAsiaTheme="minorHAnsi"/>
          <w:lang w:eastAsia="en-US"/>
        </w:rPr>
        <w:t xml:space="preserve"> Кинешма осуществляется в порядках определения объема и предоставления указанных субсидий, установленных администрацией городского округа Кинешма</w:t>
      </w:r>
      <w:r w:rsidR="00E87F98">
        <w:rPr>
          <w:bCs/>
        </w:rPr>
        <w:t>;</w:t>
      </w:r>
    </w:p>
    <w:p w:rsidR="004E29BC" w:rsidRPr="00B15F05" w:rsidRDefault="004E29BC" w:rsidP="003D5538">
      <w:pPr>
        <w:ind w:firstLine="708"/>
        <w:jc w:val="both"/>
        <w:rPr>
          <w:bCs/>
        </w:rPr>
      </w:pPr>
      <w:proofErr w:type="gramStart"/>
      <w:r w:rsidRPr="00E76514">
        <w:rPr>
          <w:bCs/>
        </w:rPr>
        <w:t>в пункте 1</w:t>
      </w:r>
      <w:r w:rsidR="00E87F98">
        <w:rPr>
          <w:bCs/>
        </w:rPr>
        <w:t>8</w:t>
      </w:r>
      <w:r w:rsidRPr="00E76514">
        <w:rPr>
          <w:bCs/>
        </w:rPr>
        <w:t xml:space="preserve"> - </w:t>
      </w:r>
      <w:r w:rsidRPr="00E76514">
        <w:t xml:space="preserve">норма обеспечения питанием спасателей поисково-спасательного отряда муниципального учреждения «Управление по делам гражданской обороны и чрезвычайным ситуациям городского округа Кинешма» при несении круглосуточного дежурства осуществляется из расчета </w:t>
      </w:r>
      <w:r w:rsidR="006B2B11">
        <w:t>1</w:t>
      </w:r>
      <w:r w:rsidRPr="00E76514">
        <w:t xml:space="preserve">00 рублей за </w:t>
      </w:r>
      <w:r w:rsidRPr="00B76EE7">
        <w:t>дежурство</w:t>
      </w:r>
      <w:r w:rsidR="006B2B11" w:rsidRPr="00B76EE7">
        <w:t xml:space="preserve"> и установление </w:t>
      </w:r>
      <w:r w:rsidR="003D5538" w:rsidRPr="00B76EE7">
        <w:t>размера увеличения (индексации) денежного вознаграждения лиц, замещающих муниципальные должности городского округа Кинешма, должностных окладов муниципальных служащих городского округа Кинешма в соответствии с замещаемыми ими должностями</w:t>
      </w:r>
      <w:proofErr w:type="gramEnd"/>
      <w:r w:rsidR="003D5538" w:rsidRPr="00B76EE7">
        <w:t xml:space="preserve"> муниципальной службы городского округа Кинешма и </w:t>
      </w:r>
      <w:r w:rsidR="003D5538" w:rsidRPr="00B76EE7">
        <w:rPr>
          <w:rFonts w:eastAsiaTheme="minorHAnsi"/>
          <w:lang w:eastAsia="en-US"/>
        </w:rPr>
        <w:t xml:space="preserve">ежемесячных выплат за присвоенный классный чин муниципальной </w:t>
      </w:r>
      <w:r w:rsidR="003D5538" w:rsidRPr="00B76EE7">
        <w:t xml:space="preserve">службы городского округа Кинешма </w:t>
      </w:r>
      <w:r w:rsidR="003D5538" w:rsidRPr="00B15F05">
        <w:t>с 1 октября 202</w:t>
      </w:r>
      <w:r w:rsidR="008A3DD2" w:rsidRPr="00B15F05">
        <w:t>2</w:t>
      </w:r>
      <w:r w:rsidR="003D5538" w:rsidRPr="00B15F05">
        <w:t xml:space="preserve"> года равного 1,0</w:t>
      </w:r>
      <w:r w:rsidR="00B15F05" w:rsidRPr="00B15F05">
        <w:t>5</w:t>
      </w:r>
      <w:r w:rsidR="003D5538" w:rsidRPr="00B15F05">
        <w:t>2</w:t>
      </w:r>
      <w:r w:rsidRPr="00B15F05">
        <w:t>;</w:t>
      </w:r>
    </w:p>
    <w:p w:rsidR="004E29BC" w:rsidRDefault="004E29BC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B15F05">
        <w:rPr>
          <w:rFonts w:ascii="Times New Roman" w:hAnsi="Times New Roman"/>
          <w:bCs/>
          <w:color w:val="FF0000"/>
          <w:sz w:val="28"/>
          <w:szCs w:val="28"/>
        </w:rPr>
        <w:tab/>
      </w:r>
      <w:r w:rsidRPr="00B15F05">
        <w:rPr>
          <w:rFonts w:ascii="Times New Roman" w:hAnsi="Times New Roman"/>
          <w:bCs/>
          <w:sz w:val="28"/>
          <w:szCs w:val="28"/>
        </w:rPr>
        <w:t>в пункте 1</w:t>
      </w:r>
      <w:r w:rsidR="00E87F98">
        <w:rPr>
          <w:rFonts w:ascii="Times New Roman" w:hAnsi="Times New Roman"/>
          <w:bCs/>
          <w:sz w:val="28"/>
          <w:szCs w:val="28"/>
        </w:rPr>
        <w:t>9</w:t>
      </w:r>
      <w:r w:rsidRPr="00B15F05">
        <w:rPr>
          <w:rFonts w:ascii="Times New Roman" w:hAnsi="Times New Roman"/>
          <w:bCs/>
          <w:sz w:val="28"/>
          <w:szCs w:val="28"/>
        </w:rPr>
        <w:t xml:space="preserve"> и приложении 7 к проекту – программа муниципальных</w:t>
      </w:r>
      <w:r w:rsidRPr="00E76514">
        <w:rPr>
          <w:rFonts w:ascii="Times New Roman" w:hAnsi="Times New Roman"/>
          <w:bCs/>
          <w:sz w:val="28"/>
          <w:szCs w:val="28"/>
        </w:rPr>
        <w:t xml:space="preserve"> заимствований городского округа Кинешма на основании статьи 110.1 Бюджетного кодекса Российской Федерации</w:t>
      </w:r>
      <w:proofErr w:type="gramStart"/>
      <w:r w:rsidRPr="00E76514">
        <w:rPr>
          <w:rFonts w:ascii="Times New Roman" w:hAnsi="Times New Roman"/>
          <w:bCs/>
          <w:sz w:val="28"/>
          <w:szCs w:val="28"/>
        </w:rPr>
        <w:t>.</w:t>
      </w:r>
      <w:r w:rsidR="00A37279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A37279" w:rsidRDefault="00A37279" w:rsidP="004E29BC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пункте </w:t>
      </w:r>
      <w:r w:rsidR="00E87F98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установлена норма о</w:t>
      </w:r>
      <w:r w:rsidRPr="00A3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предоставлении </w:t>
      </w:r>
      <w:r w:rsidRPr="00AC58C3">
        <w:rPr>
          <w:rFonts w:ascii="Times New Roman" w:hAnsi="Times New Roman"/>
          <w:sz w:val="28"/>
          <w:szCs w:val="28"/>
        </w:rPr>
        <w:t>в 202</w:t>
      </w:r>
      <w:r w:rsidR="008A3DD2">
        <w:rPr>
          <w:rFonts w:ascii="Times New Roman" w:hAnsi="Times New Roman"/>
          <w:sz w:val="28"/>
          <w:szCs w:val="28"/>
        </w:rPr>
        <w:t>2 году и плановом периоде 2023</w:t>
      </w:r>
      <w:r w:rsidRPr="00AC58C3">
        <w:rPr>
          <w:rFonts w:ascii="Times New Roman" w:hAnsi="Times New Roman"/>
          <w:sz w:val="28"/>
          <w:szCs w:val="28"/>
        </w:rPr>
        <w:t xml:space="preserve"> и 202</w:t>
      </w:r>
      <w:r w:rsidR="008A3DD2">
        <w:rPr>
          <w:rFonts w:ascii="Times New Roman" w:hAnsi="Times New Roman"/>
          <w:sz w:val="28"/>
          <w:szCs w:val="28"/>
        </w:rPr>
        <w:t>4</w:t>
      </w:r>
      <w:r w:rsidRPr="00AC58C3">
        <w:rPr>
          <w:rFonts w:ascii="Times New Roman" w:hAnsi="Times New Roman"/>
          <w:sz w:val="28"/>
          <w:szCs w:val="28"/>
        </w:rPr>
        <w:t> годов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AC58C3">
        <w:rPr>
          <w:rFonts w:ascii="Times New Roman" w:hAnsi="Times New Roman"/>
          <w:sz w:val="28"/>
          <w:szCs w:val="28"/>
        </w:rPr>
        <w:t xml:space="preserve"> гаранти</w:t>
      </w:r>
      <w:r>
        <w:rPr>
          <w:rFonts w:ascii="Times New Roman" w:hAnsi="Times New Roman"/>
          <w:sz w:val="28"/>
          <w:szCs w:val="28"/>
        </w:rPr>
        <w:t>й городского округа Кинешма.</w:t>
      </w:r>
    </w:p>
    <w:p w:rsidR="005A34F5" w:rsidRDefault="005A34F5" w:rsidP="008C685D">
      <w:pPr>
        <w:ind w:firstLine="708"/>
        <w:jc w:val="both"/>
      </w:pPr>
      <w:r w:rsidRPr="005A34F5">
        <w:t>Формирование проекта решения о бюджете основ</w:t>
      </w:r>
      <w:r w:rsidR="00B76EE7">
        <w:t>ано</w:t>
      </w:r>
      <w:r w:rsidRPr="005A34F5">
        <w:t xml:space="preserve"> на </w:t>
      </w:r>
      <w:r>
        <w:t>о</w:t>
      </w:r>
      <w:r w:rsidRPr="005A34F5">
        <w:t>сновны</w:t>
      </w:r>
      <w:r>
        <w:t>х</w:t>
      </w:r>
      <w:r w:rsidRPr="005A34F5">
        <w:t xml:space="preserve"> направления</w:t>
      </w:r>
      <w:r>
        <w:t xml:space="preserve">х бюджетной и </w:t>
      </w:r>
      <w:r w:rsidRPr="005A34F5">
        <w:t>налоговой политики городского округа Кинешма на 20</w:t>
      </w:r>
      <w:r w:rsidR="008C685D">
        <w:t>2</w:t>
      </w:r>
      <w:r w:rsidR="008A3DD2">
        <w:t>2</w:t>
      </w:r>
      <w:r w:rsidRPr="005A34F5">
        <w:t xml:space="preserve"> год и плановый период 202</w:t>
      </w:r>
      <w:r w:rsidR="008A3DD2">
        <w:t>3</w:t>
      </w:r>
      <w:r w:rsidRPr="005A34F5">
        <w:t xml:space="preserve"> и 202</w:t>
      </w:r>
      <w:r w:rsidR="008A3DD2">
        <w:t>4</w:t>
      </w:r>
      <w:r w:rsidR="00B76EE7">
        <w:t xml:space="preserve"> годов.</w:t>
      </w:r>
    </w:p>
    <w:p w:rsidR="00A767CF" w:rsidRPr="000E5197" w:rsidRDefault="00A767CF" w:rsidP="00A767CF">
      <w:pPr>
        <w:ind w:firstLine="709"/>
        <w:jc w:val="both"/>
        <w:rPr>
          <w:color w:val="000000"/>
        </w:rPr>
      </w:pPr>
      <w:r w:rsidRPr="000E5197">
        <w:rPr>
          <w:color w:val="000000"/>
        </w:rPr>
        <w:t xml:space="preserve">В 2022 – 2024 годах бюджетная политика в области доходов будет реализовываться в условиях </w:t>
      </w:r>
      <w:r>
        <w:rPr>
          <w:color w:val="000000"/>
        </w:rPr>
        <w:t xml:space="preserve">сохранения </w:t>
      </w:r>
      <w:r w:rsidRPr="000E5197">
        <w:rPr>
          <w:color w:val="000000"/>
        </w:rPr>
        <w:t xml:space="preserve">влияния на экономику последствий распространения новой </w:t>
      </w:r>
      <w:proofErr w:type="spellStart"/>
      <w:r w:rsidRPr="000E5197">
        <w:rPr>
          <w:color w:val="000000"/>
        </w:rPr>
        <w:t>коронавирусной</w:t>
      </w:r>
      <w:proofErr w:type="spellEnd"/>
      <w:r w:rsidRPr="000E5197">
        <w:rPr>
          <w:color w:val="000000"/>
        </w:rPr>
        <w:t xml:space="preserve"> инфекции (COVID-19).</w:t>
      </w:r>
    </w:p>
    <w:p w:rsidR="00A767CF" w:rsidRPr="000E5197" w:rsidRDefault="00A767CF" w:rsidP="00A767CF">
      <w:pPr>
        <w:ind w:firstLine="709"/>
        <w:jc w:val="both"/>
        <w:rPr>
          <w:color w:val="000000"/>
        </w:rPr>
      </w:pPr>
      <w:r w:rsidRPr="000E5197">
        <w:rPr>
          <w:color w:val="000000"/>
        </w:rPr>
        <w:t xml:space="preserve">Важным фактором проводимой бюджетной и налоговой политики бюджета городского округа Кинешма является необходимость сохранения бюджетной устойчивости и обеспечения бюджетной сбалансированности, в </w:t>
      </w:r>
      <w:proofErr w:type="gramStart"/>
      <w:r w:rsidRPr="000E5197">
        <w:rPr>
          <w:color w:val="000000"/>
        </w:rPr>
        <w:t>связи</w:t>
      </w:r>
      <w:proofErr w:type="gramEnd"/>
      <w:r w:rsidRPr="000E5197">
        <w:rPr>
          <w:color w:val="000000"/>
        </w:rPr>
        <w:t xml:space="preserve"> с чем следует прилагать усилия, направленные на увеличение доходов бюджета городского округа Кинешма.</w:t>
      </w:r>
    </w:p>
    <w:p w:rsidR="00A767CF" w:rsidRPr="000E5197" w:rsidRDefault="00A767CF" w:rsidP="00A767CF">
      <w:pPr>
        <w:ind w:firstLine="709"/>
        <w:jc w:val="both"/>
        <w:rPr>
          <w:color w:val="000000"/>
        </w:rPr>
      </w:pPr>
      <w:r w:rsidRPr="000E5197">
        <w:rPr>
          <w:color w:val="000000"/>
        </w:rPr>
        <w:t>В то же время изменения бюджетного законодательства в части отмены ЕНВД с 01.01.2021 и применение вычетов ФСС для плательщиков патентной системы</w:t>
      </w:r>
      <w:r w:rsidR="00096123">
        <w:rPr>
          <w:color w:val="000000"/>
        </w:rPr>
        <w:t xml:space="preserve"> </w:t>
      </w:r>
      <w:r w:rsidRPr="000E5197">
        <w:rPr>
          <w:color w:val="000000"/>
        </w:rPr>
        <w:t>снижают доходный потенциал.</w:t>
      </w:r>
      <w:r w:rsidR="00096123">
        <w:rPr>
          <w:color w:val="000000"/>
        </w:rPr>
        <w:t xml:space="preserve"> Потери бюджета от отмены ЕНВД частично компенсируются установлением дифференцированного норматива отчислений от налога, взимаемого в связи с применением упрощенной системы налогообложения, поступающего в консолидированный бюджет Ивановской области.</w:t>
      </w:r>
    </w:p>
    <w:p w:rsidR="00A767CF" w:rsidRPr="000E5197" w:rsidRDefault="00A767CF" w:rsidP="00A767CF">
      <w:pPr>
        <w:ind w:firstLine="709"/>
        <w:jc w:val="both"/>
        <w:rPr>
          <w:color w:val="000000"/>
        </w:rPr>
      </w:pPr>
      <w:r w:rsidRPr="000E5197">
        <w:rPr>
          <w:color w:val="000000"/>
        </w:rPr>
        <w:t>Бюджетная и</w:t>
      </w:r>
      <w:r w:rsidRPr="000E5197">
        <w:rPr>
          <w:bCs/>
          <w:color w:val="000000"/>
          <w:spacing w:val="-10"/>
        </w:rPr>
        <w:t xml:space="preserve"> налоговая </w:t>
      </w:r>
      <w:r w:rsidRPr="000E5197">
        <w:rPr>
          <w:color w:val="000000"/>
        </w:rPr>
        <w:t xml:space="preserve">политика городского округа Кинешма в области </w:t>
      </w:r>
      <w:r w:rsidRPr="000E5197">
        <w:rPr>
          <w:bCs/>
          <w:color w:val="000000"/>
          <w:spacing w:val="-10"/>
        </w:rPr>
        <w:t xml:space="preserve">доходов </w:t>
      </w:r>
      <w:r w:rsidRPr="000E5197">
        <w:rPr>
          <w:color w:val="000000"/>
        </w:rPr>
        <w:t>в условиях сложившейся экономической ситуации с ограниченными бюджетными ресурсами будет нацелена на обеспечение качественного планирования поступлений налоговых и неналоговых доходов с учетом имеющихся рисков и изменений бюджетного и налогового законодательства. Особое внимание будет уделено обоснованности прогнозных показателей доходов при формировании бюджета с целью недопущения их неисполнения.</w:t>
      </w:r>
    </w:p>
    <w:p w:rsidR="00A767CF" w:rsidRPr="000E5197" w:rsidRDefault="00A767CF" w:rsidP="00A767CF">
      <w:pPr>
        <w:ind w:firstLine="709"/>
        <w:jc w:val="both"/>
        <w:rPr>
          <w:color w:val="000000"/>
        </w:rPr>
      </w:pPr>
      <w:r w:rsidRPr="000E5197">
        <w:rPr>
          <w:color w:val="000000"/>
        </w:rPr>
        <w:lastRenderedPageBreak/>
        <w:t xml:space="preserve">Высокий процент исполнения плановых назначений призван обеспечить в дальнейшем безусловное исполнение расходных обязательств городского округа Кинешма, а также способствовать недопущению наращивания кредиторской задолженности как перед </w:t>
      </w:r>
      <w:proofErr w:type="spellStart"/>
      <w:r w:rsidRPr="000E5197">
        <w:rPr>
          <w:color w:val="000000"/>
        </w:rPr>
        <w:t>энергоснабжающими</w:t>
      </w:r>
      <w:proofErr w:type="spellEnd"/>
      <w:r w:rsidRPr="000E5197">
        <w:rPr>
          <w:color w:val="000000"/>
        </w:rPr>
        <w:t xml:space="preserve"> организациями, так и перед субъектами малого предпринимательства.</w:t>
      </w:r>
    </w:p>
    <w:p w:rsidR="00A767CF" w:rsidRPr="00A767CF" w:rsidRDefault="00A767CF" w:rsidP="00A767CF">
      <w:pPr>
        <w:ind w:firstLine="709"/>
        <w:jc w:val="both"/>
        <w:rPr>
          <w:color w:val="000000"/>
        </w:rPr>
      </w:pPr>
      <w:r w:rsidRPr="00A767CF">
        <w:rPr>
          <w:color w:val="000000"/>
        </w:rPr>
        <w:t xml:space="preserve">Основными целями бюджетной и налоговой политики городского округа Кинешма остаются, укрепление доходной части и мониторинг своевременного поступления доходов в бюджет городского округа. </w:t>
      </w:r>
    </w:p>
    <w:p w:rsidR="00A767CF" w:rsidRPr="00A767CF" w:rsidRDefault="00A767CF" w:rsidP="00A767CF">
      <w:pPr>
        <w:ind w:firstLine="709"/>
        <w:jc w:val="both"/>
        <w:rPr>
          <w:color w:val="000000"/>
        </w:rPr>
      </w:pPr>
      <w:r w:rsidRPr="00A767CF">
        <w:rPr>
          <w:color w:val="000000"/>
        </w:rPr>
        <w:t>Для обеспечения бесперебойного финансирования необходим комплексный подход главных администраторов к разработке кассового плана поступлений в бюджет с учетом динамики поступлений последних лет, а также сроков внесения платежей в соответствии с законодательством и сроками, установленными при заключении договоров, а также обеспечение главными администраторами безусловного исполнения показателей кассового плана.</w:t>
      </w:r>
    </w:p>
    <w:p w:rsidR="00A767CF" w:rsidRPr="00A767CF" w:rsidRDefault="00A767CF" w:rsidP="00A767CF">
      <w:pPr>
        <w:ind w:firstLine="709"/>
        <w:jc w:val="both"/>
        <w:rPr>
          <w:highlight w:val="yellow"/>
        </w:rPr>
      </w:pPr>
      <w:r w:rsidRPr="00A767CF">
        <w:rPr>
          <w:color w:val="000000"/>
        </w:rPr>
        <w:t xml:space="preserve">С целью недопущения наращивания недоимки главные администраторы доходов при нарушении сроков уплаты должны своевременно проводить с плательщиками претензионную работу. </w:t>
      </w:r>
    </w:p>
    <w:p w:rsidR="00A767CF" w:rsidRPr="00A767CF" w:rsidRDefault="00A767CF" w:rsidP="00A767CF">
      <w:pPr>
        <w:ind w:firstLine="708"/>
        <w:jc w:val="both"/>
        <w:rPr>
          <w:color w:val="000000"/>
        </w:rPr>
      </w:pPr>
      <w:r w:rsidRPr="00A767CF">
        <w:rPr>
          <w:color w:val="000000"/>
        </w:rPr>
        <w:t xml:space="preserve">В условиях замедления роста экономики при распространении новой </w:t>
      </w:r>
      <w:proofErr w:type="spellStart"/>
      <w:r w:rsidRPr="00A767CF">
        <w:rPr>
          <w:color w:val="000000"/>
        </w:rPr>
        <w:t>коронавирусной</w:t>
      </w:r>
      <w:proofErr w:type="spellEnd"/>
      <w:r w:rsidRPr="00A767CF">
        <w:rPr>
          <w:color w:val="000000"/>
        </w:rPr>
        <w:t xml:space="preserve"> инфекции и ограниченности доходов бюджета городского округа Кинешма одним из основных направлений укрепления его доходной части является повышение качества администрирования доходов и применение консервативного сценария при прогнозировании поступлений с целью исключения возможных рисков неисполнения. </w:t>
      </w:r>
    </w:p>
    <w:p w:rsidR="00A767CF" w:rsidRPr="00A767CF" w:rsidRDefault="00A767CF" w:rsidP="00A767CF">
      <w:pPr>
        <w:ind w:firstLine="708"/>
        <w:jc w:val="both"/>
        <w:rPr>
          <w:color w:val="000000"/>
        </w:rPr>
      </w:pPr>
      <w:r w:rsidRPr="00A767CF">
        <w:rPr>
          <w:color w:val="000000"/>
        </w:rPr>
        <w:t xml:space="preserve">В рамках данного направления будет продолжено взаимодействие органов местного самоуправления с налоговой службой. В предстоящий трёхлетний период будет проводиться дальнейшая работа по повышению собираемости налоговых и неналоговых платежей в бюджет городского округа, по сокращению задолженности и недоимки путём взаимодействия в рамках межведомственной комиссии по мобилизации налоговых и неналоговых доходов в бюджет городского округа Кинешма и страховых взносов в государственные внебюджетные фонды. </w:t>
      </w:r>
    </w:p>
    <w:p w:rsidR="00A767CF" w:rsidRPr="00A767CF" w:rsidRDefault="00A767CF" w:rsidP="00A767CF">
      <w:pPr>
        <w:ind w:firstLine="708"/>
        <w:jc w:val="both"/>
        <w:rPr>
          <w:color w:val="000000"/>
        </w:rPr>
      </w:pPr>
      <w:r w:rsidRPr="00A767CF">
        <w:rPr>
          <w:color w:val="000000"/>
        </w:rPr>
        <w:t>При прогнозировании поступлений от имущественных налогов на трехлетний период следует учесть итоги планируемой переоценки кадастровой стоимости земельных участков. После проведения переоценки налоговый потенциал на плановый период с учетом  итогов переоценки, а также бюджетные ассигнования, предусмотренные муниципальным учреждениям для уплаты земельного налога с организаций, подлежат корректировке (оптимизации) с целью сохранения сбалансированности бюджета.</w:t>
      </w:r>
    </w:p>
    <w:p w:rsidR="00A767CF" w:rsidRPr="00A767CF" w:rsidRDefault="00A767CF" w:rsidP="00965781">
      <w:pPr>
        <w:ind w:firstLine="708"/>
        <w:jc w:val="both"/>
        <w:rPr>
          <w:color w:val="000000"/>
        </w:rPr>
      </w:pPr>
      <w:r w:rsidRPr="00A767CF">
        <w:rPr>
          <w:color w:val="000000"/>
        </w:rPr>
        <w:t xml:space="preserve">Планирование поступления неналоговых доходов бюджета на период 2022-2024 годы будет основано на прогнозах, предоставленных главными администраторами (отраслевыми (функциональными) органами администрации городского округа Кинешма), </w:t>
      </w:r>
      <w:r w:rsidR="00965781">
        <w:rPr>
          <w:color w:val="000000"/>
        </w:rPr>
        <w:t>с учетом решений комиссии по бюджетным проектировкам</w:t>
      </w:r>
      <w:r w:rsidRPr="00A767CF">
        <w:rPr>
          <w:color w:val="000000"/>
        </w:rPr>
        <w:t>.</w:t>
      </w:r>
    </w:p>
    <w:p w:rsidR="00A767CF" w:rsidRPr="00A767CF" w:rsidRDefault="00A767CF" w:rsidP="00A767CF">
      <w:pPr>
        <w:ind w:firstLine="709"/>
        <w:jc w:val="both"/>
        <w:rPr>
          <w:color w:val="000000"/>
        </w:rPr>
      </w:pPr>
      <w:r w:rsidRPr="00A767CF">
        <w:rPr>
          <w:color w:val="000000"/>
        </w:rPr>
        <w:t xml:space="preserve">Важным направлением остаётся совершенствование работы по повышению эффективности управления муниципальной собственностью. </w:t>
      </w:r>
      <w:r w:rsidRPr="00A767CF">
        <w:t xml:space="preserve">С </w:t>
      </w:r>
      <w:r w:rsidRPr="00A767CF">
        <w:lastRenderedPageBreak/>
        <w:t>целью получения дополнительных доходов</w:t>
      </w:r>
      <w:r w:rsidRPr="00A767CF">
        <w:rPr>
          <w:color w:val="000000"/>
        </w:rPr>
        <w:t xml:space="preserve"> решение этой задачи будет проводиться посредством:</w:t>
      </w:r>
    </w:p>
    <w:p w:rsidR="00A767CF" w:rsidRPr="00A767CF" w:rsidRDefault="00A767CF" w:rsidP="00A767CF">
      <w:pPr>
        <w:ind w:firstLine="709"/>
        <w:jc w:val="both"/>
      </w:pPr>
      <w:r w:rsidRPr="00A767CF">
        <w:rPr>
          <w:color w:val="000000"/>
        </w:rPr>
        <w:t xml:space="preserve">- </w:t>
      </w:r>
      <w:r w:rsidRPr="00A767CF">
        <w:t xml:space="preserve">проведения работы по </w:t>
      </w:r>
      <w:r w:rsidRPr="00A767CF">
        <w:rPr>
          <w:color w:val="000000"/>
        </w:rPr>
        <w:t>оптимизации структуры муниципальной собственности, в том числе сокращения имущества, не обеспечивающего выполнение функций и полномочий местного самоуправления. С целью снижения затрат на содержание неиспользуемого имущества и скорейшей его реализации предполагается осуществление продаж объектов собственности, ранее неоднократно выставляемых на продажу, посредством публичного предложения по более низкой цене</w:t>
      </w:r>
      <w:r w:rsidRPr="00A767CF">
        <w:t xml:space="preserve">; </w:t>
      </w:r>
    </w:p>
    <w:p w:rsidR="00A767CF" w:rsidRPr="00A767CF" w:rsidRDefault="00A767CF" w:rsidP="00A767CF">
      <w:pPr>
        <w:ind w:firstLine="709"/>
        <w:jc w:val="both"/>
      </w:pPr>
      <w:r w:rsidRPr="00A767CF">
        <w:t xml:space="preserve">- осуществления </w:t>
      </w:r>
      <w:proofErr w:type="gramStart"/>
      <w:r w:rsidRPr="00A767CF">
        <w:t>контроля за</w:t>
      </w:r>
      <w:proofErr w:type="gramEnd"/>
      <w:r w:rsidRPr="00A767CF">
        <w:t xml:space="preserve"> поступлением средств от использования муниципальной собственности; </w:t>
      </w:r>
    </w:p>
    <w:p w:rsidR="00A767CF" w:rsidRPr="00A767CF" w:rsidRDefault="00A767CF" w:rsidP="00A767CF">
      <w:pPr>
        <w:ind w:firstLine="709"/>
        <w:jc w:val="both"/>
        <w:rPr>
          <w:color w:val="000000"/>
        </w:rPr>
      </w:pPr>
      <w:r w:rsidRPr="00A767CF">
        <w:t xml:space="preserve">- </w:t>
      </w:r>
      <w:r w:rsidRPr="00A767CF">
        <w:rPr>
          <w:color w:val="000000"/>
        </w:rPr>
        <w:t xml:space="preserve">организации работы по выявлению неиспользуемых земельных участков с целью вовлечения их в гражданский оборот; </w:t>
      </w:r>
    </w:p>
    <w:p w:rsidR="00A767CF" w:rsidRPr="00A767CF" w:rsidRDefault="00A767CF" w:rsidP="00A767CF">
      <w:pPr>
        <w:ind w:firstLine="709"/>
        <w:jc w:val="both"/>
      </w:pPr>
      <w:r w:rsidRPr="00A767CF">
        <w:rPr>
          <w:color w:val="000000"/>
        </w:rPr>
        <w:t xml:space="preserve">- </w:t>
      </w:r>
      <w:r w:rsidRPr="00A767CF">
        <w:t>реализации земельных участков на условиях аренды для различных видов строительства через аукционы;</w:t>
      </w:r>
    </w:p>
    <w:p w:rsidR="00A767CF" w:rsidRDefault="00A767CF" w:rsidP="00A767CF">
      <w:pPr>
        <w:ind w:firstLine="709"/>
        <w:jc w:val="both"/>
      </w:pPr>
      <w:r w:rsidRPr="00A767CF">
        <w:t>- совершенствования механизма управления и распоряжения объектами недвижимости, обеспечение полноты и достоверности</w:t>
      </w:r>
      <w:r w:rsidR="00965781">
        <w:t xml:space="preserve"> учета муниципального имущества;</w:t>
      </w:r>
    </w:p>
    <w:p w:rsidR="00965781" w:rsidRPr="00A767CF" w:rsidRDefault="00965781" w:rsidP="00A767CF">
      <w:pPr>
        <w:ind w:firstLine="709"/>
        <w:jc w:val="both"/>
      </w:pPr>
      <w:r>
        <w:t>- реализация объектов имущества, планируемого к передаче в казну городского округа Кинешма из вышестоящих бюджетов.</w:t>
      </w:r>
    </w:p>
    <w:p w:rsidR="00A767CF" w:rsidRPr="00A767CF" w:rsidRDefault="00A767CF" w:rsidP="00A767CF">
      <w:pPr>
        <w:ind w:firstLine="705"/>
        <w:jc w:val="both"/>
      </w:pPr>
      <w:r w:rsidRPr="00A767CF">
        <w:t>Основными направлениями бюджетной политики в области расходов городского округа</w:t>
      </w:r>
      <w:r w:rsidR="00E87F98">
        <w:t xml:space="preserve"> будут</w:t>
      </w:r>
      <w:r w:rsidRPr="00A767CF">
        <w:t xml:space="preserve"> </w:t>
      </w:r>
      <w:proofErr w:type="spellStart"/>
      <w:r w:rsidRPr="00A767CF">
        <w:t>являтся</w:t>
      </w:r>
      <w:proofErr w:type="spellEnd"/>
      <w:r w:rsidRPr="00A767CF">
        <w:t>:</w:t>
      </w:r>
    </w:p>
    <w:p w:rsidR="00A767CF" w:rsidRPr="00A767CF" w:rsidRDefault="00A767CF" w:rsidP="00A767CF">
      <w:pPr>
        <w:pStyle w:val="af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767CF">
        <w:rPr>
          <w:rFonts w:ascii="Times New Roman" w:hAnsi="Times New Roman"/>
          <w:sz w:val="28"/>
          <w:szCs w:val="28"/>
        </w:rPr>
        <w:t>Концентрация бюджетных ресурсов на исполнение приоритетных направлений расходных обязательств города.</w:t>
      </w:r>
    </w:p>
    <w:p w:rsidR="00A767CF" w:rsidRPr="00A767CF" w:rsidRDefault="00A767CF" w:rsidP="00A767CF">
      <w:pPr>
        <w:pStyle w:val="af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7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67CF">
        <w:rPr>
          <w:rFonts w:ascii="Times New Roman" w:hAnsi="Times New Roman"/>
          <w:sz w:val="28"/>
          <w:szCs w:val="28"/>
        </w:rPr>
        <w:t xml:space="preserve"> исполнением муниципальных программ, направленных на достижение целевых показателей, результатов и мероприятий национального проекта, и выполнение условий софинансирования. </w:t>
      </w:r>
    </w:p>
    <w:p w:rsidR="00A767CF" w:rsidRPr="00A767CF" w:rsidRDefault="00A767CF" w:rsidP="00A767CF">
      <w:pPr>
        <w:ind w:firstLine="360"/>
        <w:jc w:val="both"/>
      </w:pPr>
      <w:r w:rsidRPr="00A767CF">
        <w:t>3. Анализ осуществляемых расходных обязательств в целях исключения направления средств на выполнение полномочий, не отнесенных к полномочиям городского округа.</w:t>
      </w:r>
    </w:p>
    <w:p w:rsidR="00A767CF" w:rsidRPr="00A767CF" w:rsidRDefault="00A767CF" w:rsidP="00A767CF">
      <w:pPr>
        <w:ind w:firstLine="360"/>
        <w:jc w:val="both"/>
      </w:pPr>
      <w:r w:rsidRPr="00A767CF">
        <w:t>4. Принятие новых расходных обязательств с учетом их эффективности, соответствия приоритетным направлениям социально-экономического развития города и при условии наличия ресурсов для гарантированного исполнения действующих расходных обязательств.</w:t>
      </w:r>
    </w:p>
    <w:p w:rsidR="00A767CF" w:rsidRPr="00A767CF" w:rsidRDefault="00A767CF" w:rsidP="00A767CF">
      <w:pPr>
        <w:ind w:firstLine="360"/>
        <w:jc w:val="both"/>
        <w:rPr>
          <w:highlight w:val="green"/>
        </w:rPr>
      </w:pPr>
      <w:r w:rsidRPr="00A767CF">
        <w:t>5. Осуществление работы, направленной на привлечение средств вышестоящих бюджетов для решения вопросов местного значения в целях сокращения нагрузки на бюджет города, в том числе путем участия в федеральных или региональных проектах и программах, а также выполнение условий софинансирования к средствам вышестоящих бюджетов. В условиях ограниченных возможностей повышения доходной части бюджета основным источником исполнения указанных задач являются внутренние резервы бюджета городского округа Кинешма, выявленные путем оптимизации расходов и перераспределения бюджетных ассигнований между главными распорядителями средств бюджета и кодами бюджетной классификации.</w:t>
      </w:r>
      <w:r w:rsidRPr="00A767CF">
        <w:rPr>
          <w:b/>
          <w:highlight w:val="red"/>
        </w:rPr>
        <w:t xml:space="preserve"> </w:t>
      </w:r>
    </w:p>
    <w:p w:rsidR="00A767CF" w:rsidRPr="00A767CF" w:rsidRDefault="00A767CF" w:rsidP="00A767CF">
      <w:pPr>
        <w:ind w:firstLine="360"/>
        <w:jc w:val="both"/>
      </w:pPr>
      <w:r w:rsidRPr="00A767CF">
        <w:lastRenderedPageBreak/>
        <w:t>6. Увязка муниципальных заданий на оказание муниципальных услуг с целевыми индикаторами муниципальных программ, усиление текущего контроля и ответственности за выполнение муниципальных заданий.</w:t>
      </w:r>
    </w:p>
    <w:p w:rsidR="00A767CF" w:rsidRPr="00A767CF" w:rsidRDefault="00A767CF" w:rsidP="00A767CF">
      <w:pPr>
        <w:ind w:firstLine="360"/>
        <w:jc w:val="both"/>
      </w:pPr>
      <w:r w:rsidRPr="00A767CF">
        <w:t xml:space="preserve">7. Повышение ответственности главных распорядителей средств бюджета за подведомственными муниципальными учреждениями в части выполнения муниципальных заданий, в том числе по выполнению требований об обязательном возврате средств субсидии в случае </w:t>
      </w:r>
      <w:proofErr w:type="spellStart"/>
      <w:r w:rsidRPr="00A767CF">
        <w:t>недостижения</w:t>
      </w:r>
      <w:proofErr w:type="spellEnd"/>
      <w:r w:rsidRPr="00A767CF">
        <w:t xml:space="preserve"> объемных показателей, установленных в муниципальном задании.</w:t>
      </w:r>
    </w:p>
    <w:p w:rsidR="00A767CF" w:rsidRPr="00A767CF" w:rsidRDefault="00A767CF" w:rsidP="00A767CF">
      <w:pPr>
        <w:ind w:firstLine="360"/>
        <w:jc w:val="both"/>
      </w:pPr>
      <w:r w:rsidRPr="00A767CF">
        <w:t xml:space="preserve">8. Оптимизация инвестиционных расходов с учетом их приоритетности, первоочередное включение в расходную часть бюджета инвестиций в объекты капитального строительства, </w:t>
      </w:r>
      <w:proofErr w:type="spellStart"/>
      <w:r w:rsidRPr="00A767CF">
        <w:t>софинансируемые</w:t>
      </w:r>
      <w:proofErr w:type="spellEnd"/>
      <w:r w:rsidRPr="00A767CF">
        <w:t xml:space="preserve"> из вышестоящих бюджетов.</w:t>
      </w:r>
    </w:p>
    <w:p w:rsidR="00A767CF" w:rsidRPr="00A767CF" w:rsidRDefault="00A767CF" w:rsidP="00A767CF">
      <w:pPr>
        <w:ind w:firstLine="360"/>
        <w:jc w:val="both"/>
      </w:pPr>
      <w:r w:rsidRPr="00A767CF">
        <w:t>9. Повышение эффективности процедур проведения закупок товаров, работ и услуг для муниципальных нужд.</w:t>
      </w:r>
    </w:p>
    <w:p w:rsidR="00A767CF" w:rsidRPr="00A767CF" w:rsidRDefault="00A767CF" w:rsidP="00A767CF">
      <w:pPr>
        <w:ind w:firstLine="360"/>
        <w:jc w:val="both"/>
      </w:pPr>
      <w:r w:rsidRPr="00A767CF">
        <w:t xml:space="preserve">10. Повышение эффективности предоставления из бюджета субсидий с соблюдением общих правил их предоставления и заключением соглашений по типовой форме; установление показателей результативности их использования и механизмов возврата средств субсидий в случае </w:t>
      </w:r>
      <w:proofErr w:type="spellStart"/>
      <w:r w:rsidRPr="00A767CF">
        <w:t>недостижения</w:t>
      </w:r>
      <w:proofErr w:type="spellEnd"/>
      <w:r w:rsidRPr="00A767CF">
        <w:t xml:space="preserve"> таких показателей.</w:t>
      </w:r>
    </w:p>
    <w:p w:rsidR="00A767CF" w:rsidRPr="00A767CF" w:rsidRDefault="00A767CF" w:rsidP="00A767CF">
      <w:pPr>
        <w:ind w:firstLine="360"/>
        <w:jc w:val="both"/>
      </w:pPr>
      <w:r w:rsidRPr="00A767CF">
        <w:t>11. Соблюдение нормативов на содержание органов местного самоуправления и величины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служащих.</w:t>
      </w:r>
    </w:p>
    <w:p w:rsidR="00A767CF" w:rsidRPr="00A767CF" w:rsidRDefault="00A767CF" w:rsidP="00A767CF">
      <w:pPr>
        <w:ind w:firstLine="360"/>
        <w:jc w:val="both"/>
      </w:pPr>
      <w:r w:rsidRPr="00A767CF">
        <w:t>12. Дальнейшее совершенствование института муниципальных программ и повышение эффективности их реализации путем:</w:t>
      </w:r>
    </w:p>
    <w:p w:rsidR="00A767CF" w:rsidRPr="00A767CF" w:rsidRDefault="00A767CF" w:rsidP="00A767CF">
      <w:pPr>
        <w:ind w:firstLine="360"/>
        <w:jc w:val="both"/>
      </w:pPr>
      <w:r w:rsidRPr="00A767CF">
        <w:t xml:space="preserve">а) повышения </w:t>
      </w:r>
      <w:proofErr w:type="gramStart"/>
      <w:r w:rsidRPr="00A767CF">
        <w:t>качества планирования значений целевых показателей муниципальных программ</w:t>
      </w:r>
      <w:proofErr w:type="gramEnd"/>
      <w:r w:rsidRPr="00A767CF">
        <w:t>;</w:t>
      </w:r>
    </w:p>
    <w:p w:rsidR="00A767CF" w:rsidRPr="00A767CF" w:rsidRDefault="00A767CF" w:rsidP="00A767CF">
      <w:pPr>
        <w:ind w:firstLine="360"/>
        <w:jc w:val="both"/>
      </w:pPr>
      <w:r w:rsidRPr="00A767CF">
        <w:t>б) проведения оценки эффективности муниципальных программ;</w:t>
      </w:r>
    </w:p>
    <w:p w:rsidR="00A767CF" w:rsidRPr="00A767CF" w:rsidRDefault="00A767CF" w:rsidP="00A767CF">
      <w:pPr>
        <w:ind w:firstLine="360"/>
        <w:jc w:val="both"/>
      </w:pPr>
      <w:r w:rsidRPr="00A767CF">
        <w:t>в) обеспечения преемственности показателей, обозначенных в муниципальных программах, целям и задачам, обозначенным в государственных программах, для обеспечения их увязки и привлечения софинансирования из вышестоящих бюджетов.</w:t>
      </w:r>
    </w:p>
    <w:p w:rsidR="00A767CF" w:rsidRPr="00A767CF" w:rsidRDefault="00A767CF" w:rsidP="00A767CF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767CF">
        <w:t xml:space="preserve">13. Повышение уровня открытости и понятности бюджетных данных, повышение финансовой грамотности населения городского округа Кинешма, в том числе уровня знаний в вопросах касающихся финансовой сферы. В качестве средств популяризации бюджетной информации среди населения будет продолжено ведение официального сайта финансового управления администрации городского округа Кинешма, а также группы финансового управления в социальных сетях. </w:t>
      </w:r>
      <w:r w:rsidRPr="00A767CF">
        <w:rPr>
          <w:spacing w:val="1"/>
        </w:rPr>
        <w:t>Открытость и прозрачность бюджетных данных обеспечивается за счет формирования и публикации документа информирования граждан о состоянии общественных финансов «Бюджет для граждан». Продолжится работа в</w:t>
      </w:r>
      <w:r w:rsidRPr="00A767CF">
        <w:t xml:space="preserve"> системе «Электронный бюджет», целью которой является</w:t>
      </w:r>
      <w:r w:rsidRPr="00A767CF">
        <w:rPr>
          <w:shd w:val="clear" w:color="auto" w:fill="FFFFFF"/>
        </w:rPr>
        <w:t>  обеспечение </w:t>
      </w:r>
      <w:r w:rsidRPr="00A767CF">
        <w:rPr>
          <w:rStyle w:val="aff1"/>
          <w:b w:val="0"/>
          <w:shd w:val="clear" w:color="auto" w:fill="FFFFFF"/>
        </w:rPr>
        <w:t>прозрачности, открытости и подотчетности деятельности органов местного самоуправления</w:t>
      </w:r>
      <w:r w:rsidRPr="00A767CF">
        <w:rPr>
          <w:shd w:val="clear" w:color="auto" w:fill="FFFFFF"/>
        </w:rPr>
        <w:t>.</w:t>
      </w:r>
    </w:p>
    <w:p w:rsidR="00A767CF" w:rsidRPr="00A767CF" w:rsidRDefault="00A767CF" w:rsidP="004B16E1">
      <w:pPr>
        <w:autoSpaceDE w:val="0"/>
        <w:autoSpaceDN w:val="0"/>
        <w:adjustRightInd w:val="0"/>
        <w:ind w:firstLine="709"/>
        <w:jc w:val="both"/>
        <w:rPr>
          <w:rStyle w:val="0pt"/>
          <w:rFonts w:eastAsia="Calibri"/>
          <w:sz w:val="28"/>
          <w:szCs w:val="28"/>
        </w:rPr>
      </w:pPr>
      <w:r w:rsidRPr="00A767CF">
        <w:t xml:space="preserve"> </w:t>
      </w:r>
    </w:p>
    <w:p w:rsidR="00F37305" w:rsidRDefault="00F37305" w:rsidP="006B2B1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65781" w:rsidRDefault="00965781" w:rsidP="006B2B1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B2B11" w:rsidRDefault="006B2B11" w:rsidP="006B2B1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03DC5">
        <w:rPr>
          <w:rFonts w:ascii="Times New Roman" w:hAnsi="Times New Roman"/>
          <w:b/>
          <w:sz w:val="28"/>
          <w:szCs w:val="28"/>
        </w:rPr>
        <w:lastRenderedPageBreak/>
        <w:t xml:space="preserve">Основные характеристики проекта бюджета </w:t>
      </w:r>
      <w:r>
        <w:rPr>
          <w:rFonts w:ascii="Times New Roman" w:hAnsi="Times New Roman"/>
          <w:b/>
          <w:sz w:val="28"/>
          <w:szCs w:val="28"/>
        </w:rPr>
        <w:t>городского округа Кинешма</w:t>
      </w:r>
    </w:p>
    <w:p w:rsidR="006B2B11" w:rsidRPr="00503DC5" w:rsidRDefault="006B2B11" w:rsidP="006B2B1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DC5">
        <w:rPr>
          <w:rFonts w:ascii="Times New Roman" w:hAnsi="Times New Roman"/>
          <w:b/>
          <w:sz w:val="28"/>
          <w:szCs w:val="28"/>
        </w:rPr>
        <w:t>на 20</w:t>
      </w:r>
      <w:r w:rsidR="00BB451D">
        <w:rPr>
          <w:rFonts w:ascii="Times New Roman" w:hAnsi="Times New Roman"/>
          <w:b/>
          <w:sz w:val="28"/>
          <w:szCs w:val="28"/>
        </w:rPr>
        <w:t>2</w:t>
      </w:r>
      <w:r w:rsidR="00A767CF">
        <w:rPr>
          <w:rFonts w:ascii="Times New Roman" w:hAnsi="Times New Roman"/>
          <w:b/>
          <w:sz w:val="28"/>
          <w:szCs w:val="28"/>
        </w:rPr>
        <w:t>2</w:t>
      </w:r>
      <w:r w:rsidRPr="00503DC5">
        <w:rPr>
          <w:rFonts w:ascii="Times New Roman" w:hAnsi="Times New Roman"/>
          <w:b/>
          <w:sz w:val="28"/>
          <w:szCs w:val="28"/>
        </w:rPr>
        <w:t> год и на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A767CF">
        <w:rPr>
          <w:rFonts w:ascii="Times New Roman" w:hAnsi="Times New Roman"/>
          <w:b/>
          <w:sz w:val="28"/>
          <w:szCs w:val="28"/>
        </w:rPr>
        <w:t>3</w:t>
      </w:r>
      <w:r w:rsidRPr="00503DC5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</w:t>
      </w:r>
      <w:r w:rsidR="00A767CF">
        <w:rPr>
          <w:rFonts w:ascii="Times New Roman" w:hAnsi="Times New Roman"/>
          <w:b/>
          <w:sz w:val="28"/>
          <w:szCs w:val="28"/>
        </w:rPr>
        <w:t>4</w:t>
      </w:r>
      <w:r w:rsidRPr="00503DC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B2B11" w:rsidRDefault="006B2B11" w:rsidP="006B2B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6EE6" w:rsidRPr="00503DC5" w:rsidRDefault="00F86EE6" w:rsidP="006B2B1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790E" w:rsidRDefault="00456467" w:rsidP="004B16E1">
      <w:pPr>
        <w:pStyle w:val="ConsNormal"/>
        <w:widowControl/>
        <w:ind w:firstLine="708"/>
        <w:jc w:val="both"/>
        <w:rPr>
          <w:snapToGrid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</w:t>
      </w:r>
      <w:r w:rsidRPr="00476A85">
        <w:rPr>
          <w:rFonts w:ascii="Times New Roman" w:hAnsi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/>
          <w:sz w:val="28"/>
          <w:szCs w:val="28"/>
        </w:rPr>
        <w:t xml:space="preserve">городского округа Кинешма </w:t>
      </w:r>
      <w:r w:rsidRPr="00476A8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767CF">
        <w:rPr>
          <w:rFonts w:ascii="Times New Roman" w:hAnsi="Times New Roman"/>
          <w:sz w:val="28"/>
          <w:szCs w:val="28"/>
        </w:rPr>
        <w:t>2</w:t>
      </w:r>
      <w:r w:rsidRPr="00476A85">
        <w:rPr>
          <w:rFonts w:ascii="Times New Roman" w:hAnsi="Times New Roman"/>
          <w:sz w:val="28"/>
          <w:szCs w:val="28"/>
        </w:rPr>
        <w:t xml:space="preserve"> год и на </w:t>
      </w:r>
      <w:r w:rsidRPr="00027DBA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76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DBA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A767CF">
        <w:rPr>
          <w:rFonts w:ascii="Times New Roman" w:hAnsi="Times New Roman"/>
          <w:sz w:val="28"/>
          <w:szCs w:val="28"/>
        </w:rPr>
        <w:t>4</w:t>
      </w:r>
      <w:r w:rsidRPr="00027DBA">
        <w:rPr>
          <w:rFonts w:ascii="Times New Roman" w:hAnsi="Times New Roman"/>
          <w:sz w:val="28"/>
          <w:szCs w:val="28"/>
        </w:rPr>
        <w:t xml:space="preserve"> годов представлены </w:t>
      </w:r>
      <w:r>
        <w:rPr>
          <w:rFonts w:ascii="Times New Roman" w:hAnsi="Times New Roman"/>
          <w:sz w:val="28"/>
          <w:szCs w:val="28"/>
        </w:rPr>
        <w:t>в нижеприведенной таблице:</w:t>
      </w:r>
    </w:p>
    <w:p w:rsidR="00456467" w:rsidRPr="00DA3818" w:rsidRDefault="00456467" w:rsidP="00456467">
      <w:pPr>
        <w:pStyle w:val="25"/>
        <w:ind w:firstLine="0"/>
        <w:jc w:val="right"/>
        <w:rPr>
          <w:sz w:val="24"/>
          <w:szCs w:val="24"/>
        </w:rPr>
      </w:pPr>
      <w:r w:rsidRPr="00DA3818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DA3818">
        <w:rPr>
          <w:sz w:val="24"/>
          <w:szCs w:val="24"/>
        </w:rPr>
        <w:t>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559"/>
        <w:gridCol w:w="1559"/>
        <w:gridCol w:w="1701"/>
      </w:tblGrid>
      <w:tr w:rsidR="00EF0553" w:rsidRPr="00A767CF" w:rsidTr="00033DDB">
        <w:trPr>
          <w:trHeight w:val="1934"/>
        </w:trPr>
        <w:tc>
          <w:tcPr>
            <w:tcW w:w="2694" w:type="dxa"/>
            <w:shd w:val="clear" w:color="auto" w:fill="auto"/>
          </w:tcPr>
          <w:p w:rsidR="00EF0553" w:rsidRPr="00EF0553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0553" w:rsidRPr="00A2234C" w:rsidRDefault="00A2234C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b/>
                <w:snapToGrid/>
                <w:sz w:val="24"/>
                <w:szCs w:val="24"/>
              </w:rPr>
              <w:t>2021</w:t>
            </w:r>
            <w:r w:rsidR="00EF0553" w:rsidRPr="00A2234C">
              <w:rPr>
                <w:b/>
                <w:snapToGrid/>
                <w:sz w:val="24"/>
                <w:szCs w:val="24"/>
              </w:rPr>
              <w:t xml:space="preserve"> год</w:t>
            </w:r>
          </w:p>
          <w:p w:rsidR="00EF0553" w:rsidRPr="00A2234C" w:rsidRDefault="00EF0553" w:rsidP="00A2234C">
            <w:pPr>
              <w:jc w:val="center"/>
              <w:rPr>
                <w:snapToGrid/>
                <w:sz w:val="24"/>
                <w:szCs w:val="24"/>
              </w:rPr>
            </w:pPr>
            <w:r w:rsidRPr="00A2234C">
              <w:rPr>
                <w:snapToGrid/>
                <w:sz w:val="24"/>
                <w:szCs w:val="24"/>
              </w:rPr>
              <w:t>(план в соответствии с отчетом об исполнении бюджета на 01.10.202</w:t>
            </w:r>
            <w:r w:rsidR="00A2234C" w:rsidRPr="00A2234C">
              <w:rPr>
                <w:snapToGrid/>
                <w:sz w:val="24"/>
                <w:szCs w:val="24"/>
              </w:rPr>
              <w:t>1</w:t>
            </w:r>
            <w:r w:rsidRPr="00A2234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A2234C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b/>
                <w:snapToGrid/>
                <w:sz w:val="24"/>
                <w:szCs w:val="24"/>
              </w:rPr>
              <w:t>202</w:t>
            </w:r>
            <w:r w:rsidR="00A2234C" w:rsidRPr="00A2234C">
              <w:rPr>
                <w:b/>
                <w:snapToGrid/>
                <w:sz w:val="24"/>
                <w:szCs w:val="24"/>
              </w:rPr>
              <w:t>2</w:t>
            </w:r>
            <w:r w:rsidRPr="00A2234C">
              <w:rPr>
                <w:b/>
                <w:snapToGrid/>
                <w:sz w:val="24"/>
                <w:szCs w:val="24"/>
              </w:rPr>
              <w:t xml:space="preserve"> год</w:t>
            </w:r>
          </w:p>
          <w:p w:rsidR="00EF0553" w:rsidRPr="00A2234C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snapToGrid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A2234C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b/>
                <w:snapToGrid/>
                <w:sz w:val="24"/>
                <w:szCs w:val="24"/>
              </w:rPr>
              <w:t>202</w:t>
            </w:r>
            <w:r w:rsidR="00A2234C" w:rsidRPr="00A2234C">
              <w:rPr>
                <w:b/>
                <w:snapToGrid/>
                <w:sz w:val="24"/>
                <w:szCs w:val="24"/>
              </w:rPr>
              <w:t>3</w:t>
            </w:r>
            <w:r w:rsidRPr="00A2234C">
              <w:rPr>
                <w:b/>
                <w:snapToGrid/>
                <w:sz w:val="24"/>
                <w:szCs w:val="24"/>
              </w:rPr>
              <w:t xml:space="preserve"> год</w:t>
            </w:r>
          </w:p>
          <w:p w:rsidR="00EF0553" w:rsidRPr="00A2234C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snapToGrid/>
                <w:sz w:val="24"/>
                <w:szCs w:val="24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A2234C" w:rsidRDefault="00EF0553" w:rsidP="00A2234C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A2234C">
              <w:rPr>
                <w:b/>
                <w:snapToGrid/>
                <w:sz w:val="24"/>
                <w:szCs w:val="24"/>
              </w:rPr>
              <w:t>202</w:t>
            </w:r>
            <w:r w:rsidR="00A2234C" w:rsidRPr="00A2234C">
              <w:rPr>
                <w:b/>
                <w:snapToGrid/>
                <w:sz w:val="24"/>
                <w:szCs w:val="24"/>
              </w:rPr>
              <w:t>4</w:t>
            </w:r>
            <w:r w:rsidRPr="00A2234C">
              <w:rPr>
                <w:b/>
                <w:snapToGrid/>
                <w:sz w:val="24"/>
                <w:szCs w:val="24"/>
              </w:rPr>
              <w:t xml:space="preserve"> год </w:t>
            </w:r>
            <w:r w:rsidRPr="00A2234C">
              <w:rPr>
                <w:snapToGrid/>
                <w:sz w:val="24"/>
                <w:szCs w:val="24"/>
              </w:rPr>
              <w:t>проект</w:t>
            </w:r>
          </w:p>
        </w:tc>
      </w:tr>
      <w:tr w:rsidR="00EF0553" w:rsidRPr="00CD0B5A" w:rsidTr="00033DDB">
        <w:trPr>
          <w:trHeight w:val="451"/>
        </w:trPr>
        <w:tc>
          <w:tcPr>
            <w:tcW w:w="2694" w:type="dxa"/>
            <w:shd w:val="clear" w:color="auto" w:fill="F2F2F2"/>
          </w:tcPr>
          <w:p w:rsidR="00EF0553" w:rsidRPr="00CD0B5A" w:rsidRDefault="00EF0553" w:rsidP="00EF0553">
            <w:pPr>
              <w:jc w:val="both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Доходы - всего: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EF0553" w:rsidRPr="00CD0B5A" w:rsidRDefault="00A2234C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2 370 310,6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CD0B5A" w:rsidRDefault="00CD0B5A" w:rsidP="00E74D82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2 53</w:t>
            </w:r>
            <w:r w:rsidR="00E74D82">
              <w:rPr>
                <w:b/>
                <w:snapToGrid/>
                <w:sz w:val="24"/>
                <w:szCs w:val="24"/>
              </w:rPr>
              <w:t>8</w:t>
            </w:r>
            <w:r w:rsidRPr="00CD0B5A">
              <w:rPr>
                <w:b/>
                <w:snapToGrid/>
                <w:sz w:val="24"/>
                <w:szCs w:val="24"/>
              </w:rPr>
              <w:t> </w:t>
            </w:r>
            <w:r w:rsidR="00E74D82">
              <w:rPr>
                <w:b/>
                <w:snapToGrid/>
                <w:sz w:val="24"/>
                <w:szCs w:val="24"/>
              </w:rPr>
              <w:t>8</w:t>
            </w:r>
            <w:r w:rsidRPr="00CD0B5A">
              <w:rPr>
                <w:b/>
                <w:snapToGrid/>
                <w:sz w:val="24"/>
                <w:szCs w:val="24"/>
              </w:rPr>
              <w:t>56,5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CD0B5A" w:rsidRDefault="00CD0B5A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1 428 275,3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F0553" w:rsidRPr="00CD0B5A" w:rsidRDefault="00CD0B5A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1 072 285,5</w:t>
            </w:r>
          </w:p>
        </w:tc>
      </w:tr>
      <w:tr w:rsidR="00EF0553" w:rsidRPr="00A767CF" w:rsidTr="00033DDB">
        <w:trPr>
          <w:trHeight w:val="451"/>
        </w:trPr>
        <w:tc>
          <w:tcPr>
            <w:tcW w:w="2694" w:type="dxa"/>
            <w:shd w:val="clear" w:color="auto" w:fill="auto"/>
          </w:tcPr>
          <w:p w:rsidR="00EF0553" w:rsidRPr="00CD0B5A" w:rsidRDefault="00EF0553" w:rsidP="00EF0553">
            <w:pPr>
              <w:rPr>
                <w:snapToGrid/>
                <w:sz w:val="24"/>
                <w:szCs w:val="24"/>
              </w:rPr>
            </w:pPr>
            <w:r w:rsidRPr="00CD0B5A">
              <w:rPr>
                <w:snapToGrid/>
                <w:sz w:val="24"/>
                <w:szCs w:val="24"/>
              </w:rPr>
              <w:t>% к предыдущему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553" w:rsidRPr="00CD0B5A" w:rsidRDefault="00EF0553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CD0B5A">
              <w:rPr>
                <w:b/>
                <w:snapToGrid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CD0B5A" w:rsidRDefault="00EF0553" w:rsidP="00CD0B5A">
            <w:pPr>
              <w:jc w:val="center"/>
              <w:rPr>
                <w:snapToGrid/>
                <w:sz w:val="24"/>
                <w:szCs w:val="24"/>
              </w:rPr>
            </w:pPr>
            <w:r w:rsidRPr="00CD0B5A">
              <w:rPr>
                <w:snapToGrid/>
                <w:sz w:val="24"/>
                <w:szCs w:val="24"/>
              </w:rPr>
              <w:t>10</w:t>
            </w:r>
            <w:r w:rsidR="00CD0B5A" w:rsidRPr="00CD0B5A">
              <w:rPr>
                <w:snapToGrid/>
                <w:sz w:val="24"/>
                <w:szCs w:val="24"/>
              </w:rPr>
              <w:t>7</w:t>
            </w:r>
            <w:r w:rsidRPr="00CD0B5A">
              <w:rPr>
                <w:snapToGrid/>
                <w:sz w:val="24"/>
                <w:szCs w:val="24"/>
              </w:rPr>
              <w:t>,</w:t>
            </w:r>
            <w:r w:rsidR="00FD42E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CD0B5A" w:rsidRDefault="00CD0B5A" w:rsidP="00EF0553">
            <w:pPr>
              <w:jc w:val="center"/>
              <w:rPr>
                <w:snapToGrid/>
                <w:sz w:val="24"/>
                <w:szCs w:val="24"/>
              </w:rPr>
            </w:pPr>
            <w:r w:rsidRPr="00CD0B5A">
              <w:rPr>
                <w:snapToGrid/>
                <w:sz w:val="24"/>
                <w:szCs w:val="24"/>
              </w:rPr>
              <w:t>56,3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B5A" w:rsidRPr="00CD0B5A" w:rsidRDefault="00CD0B5A" w:rsidP="00CD0B5A">
            <w:pPr>
              <w:jc w:val="center"/>
              <w:rPr>
                <w:snapToGrid/>
                <w:sz w:val="24"/>
                <w:szCs w:val="24"/>
              </w:rPr>
            </w:pPr>
            <w:r w:rsidRPr="00CD0B5A">
              <w:rPr>
                <w:snapToGrid/>
                <w:sz w:val="24"/>
                <w:szCs w:val="24"/>
              </w:rPr>
              <w:t>75,1</w:t>
            </w:r>
          </w:p>
        </w:tc>
      </w:tr>
      <w:tr w:rsidR="00EF0553" w:rsidRPr="00A767CF" w:rsidTr="00033DDB">
        <w:trPr>
          <w:trHeight w:val="69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0553" w:rsidRPr="00CD0B5A" w:rsidRDefault="00EF0553" w:rsidP="00EF0553">
            <w:pPr>
              <w:rPr>
                <w:b/>
                <w:sz w:val="24"/>
                <w:szCs w:val="24"/>
              </w:rPr>
            </w:pPr>
            <w:r w:rsidRPr="00CD0B5A">
              <w:rPr>
                <w:b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CD0B5A" w:rsidRDefault="00190931" w:rsidP="00EF0553">
            <w:pPr>
              <w:jc w:val="center"/>
              <w:rPr>
                <w:b/>
                <w:sz w:val="24"/>
                <w:szCs w:val="24"/>
              </w:rPr>
            </w:pPr>
            <w:r w:rsidRPr="00CD0B5A">
              <w:rPr>
                <w:b/>
                <w:sz w:val="24"/>
                <w:szCs w:val="24"/>
              </w:rPr>
              <w:t>396 027,7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CD0B5A" w:rsidRDefault="00CD0B5A" w:rsidP="00E74D82">
            <w:pPr>
              <w:jc w:val="center"/>
              <w:rPr>
                <w:b/>
                <w:sz w:val="24"/>
                <w:szCs w:val="24"/>
              </w:rPr>
            </w:pPr>
            <w:r w:rsidRPr="00CD0B5A">
              <w:rPr>
                <w:b/>
                <w:sz w:val="24"/>
                <w:szCs w:val="24"/>
              </w:rPr>
              <w:t>37</w:t>
            </w:r>
            <w:r w:rsidR="00E74D82">
              <w:rPr>
                <w:b/>
                <w:sz w:val="24"/>
                <w:szCs w:val="24"/>
              </w:rPr>
              <w:t>5</w:t>
            </w:r>
            <w:r w:rsidRPr="00CD0B5A">
              <w:rPr>
                <w:b/>
                <w:sz w:val="24"/>
                <w:szCs w:val="24"/>
              </w:rPr>
              <w:t> </w:t>
            </w:r>
            <w:r w:rsidR="00E74D82">
              <w:rPr>
                <w:b/>
                <w:sz w:val="24"/>
                <w:szCs w:val="24"/>
              </w:rPr>
              <w:t>9</w:t>
            </w:r>
            <w:r w:rsidRPr="00CD0B5A">
              <w:rPr>
                <w:b/>
                <w:sz w:val="24"/>
                <w:szCs w:val="24"/>
              </w:rPr>
              <w:t>29,1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CD0B5A" w:rsidRDefault="00CD0B5A" w:rsidP="00EF0553">
            <w:pPr>
              <w:jc w:val="center"/>
              <w:rPr>
                <w:b/>
                <w:sz w:val="24"/>
                <w:szCs w:val="24"/>
              </w:rPr>
            </w:pPr>
            <w:r w:rsidRPr="00CD0B5A">
              <w:rPr>
                <w:b/>
                <w:sz w:val="24"/>
                <w:szCs w:val="24"/>
              </w:rPr>
              <w:t>370 004,2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CD0B5A" w:rsidRDefault="00C96B1A" w:rsidP="00EF0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376 433,1</w:t>
            </w:r>
          </w:p>
        </w:tc>
      </w:tr>
      <w:tr w:rsidR="00EF0553" w:rsidRPr="00A767CF" w:rsidTr="00033D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0553" w:rsidRPr="00897522" w:rsidRDefault="00EF0553" w:rsidP="00EF0553">
            <w:pPr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 xml:space="preserve">- налоговые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190931" w:rsidP="000C5FE8">
            <w:pPr>
              <w:jc w:val="center"/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>304</w:t>
            </w:r>
            <w:r w:rsidR="000C5FE8">
              <w:rPr>
                <w:sz w:val="24"/>
                <w:szCs w:val="24"/>
              </w:rPr>
              <w:t> </w:t>
            </w:r>
            <w:r w:rsidRPr="00897522">
              <w:rPr>
                <w:sz w:val="24"/>
                <w:szCs w:val="24"/>
              </w:rPr>
              <w:t>9</w:t>
            </w:r>
            <w:r w:rsidR="000C5FE8">
              <w:rPr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CD0B5A" w:rsidP="00EF0553">
            <w:pPr>
              <w:jc w:val="center"/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>311 120,4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CD0B5A" w:rsidP="00EF0553">
            <w:pPr>
              <w:jc w:val="center"/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>319 991,9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897522" w:rsidRDefault="00897522" w:rsidP="00897522">
            <w:pPr>
              <w:jc w:val="center"/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>328 346,5</w:t>
            </w:r>
          </w:p>
        </w:tc>
      </w:tr>
      <w:tr w:rsidR="00EF0553" w:rsidRPr="00A767CF" w:rsidTr="00033D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0553" w:rsidRPr="00897522" w:rsidRDefault="00EF0553" w:rsidP="00EF0553">
            <w:pPr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 xml:space="preserve">- неналоговые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0C5FE8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91 077,8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897522" w:rsidP="00E74D82">
            <w:pPr>
              <w:jc w:val="center"/>
              <w:rPr>
                <w:sz w:val="24"/>
                <w:szCs w:val="24"/>
              </w:rPr>
            </w:pPr>
            <w:r w:rsidRPr="00897522">
              <w:rPr>
                <w:sz w:val="24"/>
                <w:szCs w:val="24"/>
              </w:rPr>
              <w:t>6</w:t>
            </w:r>
            <w:r w:rsidR="00E74D82">
              <w:rPr>
                <w:sz w:val="24"/>
                <w:szCs w:val="24"/>
              </w:rPr>
              <w:t>4</w:t>
            </w:r>
            <w:r w:rsidR="00F23F91">
              <w:rPr>
                <w:sz w:val="24"/>
                <w:szCs w:val="24"/>
              </w:rPr>
              <w:t> </w:t>
            </w:r>
            <w:r w:rsidR="00E74D82">
              <w:rPr>
                <w:sz w:val="24"/>
                <w:szCs w:val="24"/>
              </w:rPr>
              <w:t>8</w:t>
            </w:r>
            <w:r w:rsidR="00F23F91">
              <w:rPr>
                <w:sz w:val="24"/>
                <w:szCs w:val="24"/>
              </w:rPr>
              <w:t>08,7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F23F91" w:rsidP="00897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50 012,3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897522" w:rsidRDefault="00C96B1A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48 086,6</w:t>
            </w:r>
          </w:p>
        </w:tc>
      </w:tr>
      <w:tr w:rsidR="00EF0553" w:rsidRPr="00A767CF" w:rsidTr="00033D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0553" w:rsidRPr="00897522" w:rsidRDefault="00EF0553" w:rsidP="00EF0553">
            <w:pPr>
              <w:rPr>
                <w:b/>
                <w:sz w:val="24"/>
                <w:szCs w:val="24"/>
              </w:rPr>
            </w:pPr>
            <w:r w:rsidRPr="0089752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190931" w:rsidP="00EF0553">
            <w:pPr>
              <w:jc w:val="center"/>
              <w:rPr>
                <w:b/>
                <w:sz w:val="24"/>
                <w:szCs w:val="24"/>
              </w:rPr>
            </w:pPr>
            <w:r w:rsidRPr="00897522">
              <w:rPr>
                <w:b/>
                <w:sz w:val="24"/>
                <w:szCs w:val="24"/>
              </w:rPr>
              <w:t>1 974 282,9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897522" w:rsidP="00EF0553">
            <w:pPr>
              <w:jc w:val="center"/>
              <w:rPr>
                <w:b/>
                <w:sz w:val="24"/>
                <w:szCs w:val="24"/>
              </w:rPr>
            </w:pPr>
            <w:r w:rsidRPr="00897522">
              <w:rPr>
                <w:b/>
                <w:sz w:val="24"/>
                <w:szCs w:val="24"/>
              </w:rPr>
              <w:t>2 162 927,4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897522" w:rsidRDefault="00EF0553" w:rsidP="00897522">
            <w:pPr>
              <w:jc w:val="center"/>
              <w:rPr>
                <w:b/>
                <w:sz w:val="24"/>
                <w:szCs w:val="24"/>
              </w:rPr>
            </w:pPr>
            <w:r w:rsidRPr="00897522">
              <w:rPr>
                <w:b/>
                <w:sz w:val="24"/>
                <w:szCs w:val="24"/>
              </w:rPr>
              <w:t>1</w:t>
            </w:r>
            <w:r w:rsidR="00897522" w:rsidRPr="00897522">
              <w:rPr>
                <w:b/>
                <w:sz w:val="24"/>
                <w:szCs w:val="24"/>
              </w:rPr>
              <w:t> 058 271,1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897522" w:rsidRDefault="00897522" w:rsidP="00EF0553">
            <w:pPr>
              <w:jc w:val="center"/>
              <w:rPr>
                <w:b/>
                <w:sz w:val="24"/>
                <w:szCs w:val="24"/>
              </w:rPr>
            </w:pPr>
            <w:r w:rsidRPr="00897522">
              <w:rPr>
                <w:b/>
                <w:sz w:val="24"/>
                <w:szCs w:val="24"/>
              </w:rPr>
              <w:t>695 852,4</w:t>
            </w:r>
          </w:p>
        </w:tc>
      </w:tr>
      <w:tr w:rsidR="00EF0553" w:rsidRPr="00A767CF" w:rsidTr="00033DDB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0553" w:rsidRPr="00190931" w:rsidRDefault="00EF0553" w:rsidP="00EF0553">
            <w:pPr>
              <w:rPr>
                <w:sz w:val="24"/>
                <w:szCs w:val="24"/>
              </w:rPr>
            </w:pPr>
            <w:r w:rsidRPr="00190931">
              <w:rPr>
                <w:sz w:val="24"/>
                <w:szCs w:val="24"/>
              </w:rPr>
              <w:t>% к общему объему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A2234C" w:rsidRDefault="00EF0553" w:rsidP="00190931">
            <w:pPr>
              <w:jc w:val="center"/>
              <w:rPr>
                <w:sz w:val="24"/>
                <w:szCs w:val="24"/>
              </w:rPr>
            </w:pPr>
            <w:r w:rsidRPr="00A2234C">
              <w:rPr>
                <w:sz w:val="24"/>
                <w:szCs w:val="24"/>
              </w:rPr>
              <w:t>8</w:t>
            </w:r>
            <w:r w:rsidR="00190931">
              <w:rPr>
                <w:sz w:val="24"/>
                <w:szCs w:val="24"/>
              </w:rPr>
              <w:t>3</w:t>
            </w:r>
            <w:r w:rsidRPr="00A2234C">
              <w:rPr>
                <w:sz w:val="24"/>
                <w:szCs w:val="24"/>
              </w:rPr>
              <w:t>,</w:t>
            </w:r>
            <w:r w:rsidR="0019093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F23F91" w:rsidRDefault="00EF0553" w:rsidP="00F23F91">
            <w:pPr>
              <w:jc w:val="center"/>
              <w:rPr>
                <w:sz w:val="24"/>
                <w:szCs w:val="24"/>
              </w:rPr>
            </w:pPr>
            <w:r w:rsidRPr="00F23F91">
              <w:rPr>
                <w:sz w:val="24"/>
                <w:szCs w:val="24"/>
              </w:rPr>
              <w:t>8</w:t>
            </w:r>
            <w:r w:rsidR="00F23F91" w:rsidRPr="00F23F91">
              <w:rPr>
                <w:sz w:val="24"/>
                <w:szCs w:val="24"/>
              </w:rPr>
              <w:t>5</w:t>
            </w:r>
            <w:r w:rsidRPr="00F23F91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53" w:rsidRPr="00F23F91" w:rsidRDefault="00F23F91" w:rsidP="00F23F91">
            <w:pPr>
              <w:jc w:val="center"/>
              <w:rPr>
                <w:sz w:val="24"/>
                <w:szCs w:val="24"/>
              </w:rPr>
            </w:pPr>
            <w:r w:rsidRPr="00F23F91">
              <w:rPr>
                <w:sz w:val="24"/>
                <w:szCs w:val="24"/>
              </w:rPr>
              <w:t>7</w:t>
            </w:r>
            <w:r w:rsidR="00EF0553" w:rsidRPr="00F23F91">
              <w:rPr>
                <w:sz w:val="24"/>
                <w:szCs w:val="24"/>
              </w:rPr>
              <w:t>4,</w:t>
            </w:r>
            <w:r w:rsidRPr="00F23F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C96B1A" w:rsidRDefault="00EF0553" w:rsidP="00C96B1A">
            <w:pPr>
              <w:jc w:val="center"/>
              <w:rPr>
                <w:sz w:val="24"/>
                <w:szCs w:val="24"/>
              </w:rPr>
            </w:pPr>
            <w:r w:rsidRPr="00C96B1A">
              <w:rPr>
                <w:sz w:val="24"/>
                <w:szCs w:val="24"/>
              </w:rPr>
              <w:t>6</w:t>
            </w:r>
            <w:r w:rsidR="00C96B1A" w:rsidRPr="00C96B1A">
              <w:rPr>
                <w:sz w:val="24"/>
                <w:szCs w:val="24"/>
              </w:rPr>
              <w:t>4</w:t>
            </w:r>
            <w:r w:rsidRPr="00C96B1A">
              <w:rPr>
                <w:sz w:val="24"/>
                <w:szCs w:val="24"/>
              </w:rPr>
              <w:t>,</w:t>
            </w:r>
            <w:r w:rsidR="00C96B1A" w:rsidRPr="00C96B1A">
              <w:rPr>
                <w:sz w:val="24"/>
                <w:szCs w:val="24"/>
              </w:rPr>
              <w:t>9</w:t>
            </w:r>
          </w:p>
        </w:tc>
      </w:tr>
      <w:tr w:rsidR="00EF0553" w:rsidRPr="00A767CF" w:rsidTr="00033DDB">
        <w:tc>
          <w:tcPr>
            <w:tcW w:w="2694" w:type="dxa"/>
            <w:shd w:val="clear" w:color="auto" w:fill="auto"/>
          </w:tcPr>
          <w:p w:rsidR="00EF0553" w:rsidRPr="00190931" w:rsidRDefault="00EF0553" w:rsidP="00EF0553">
            <w:pPr>
              <w:rPr>
                <w:snapToGrid/>
                <w:sz w:val="24"/>
                <w:szCs w:val="24"/>
              </w:rPr>
            </w:pPr>
            <w:r w:rsidRPr="00190931">
              <w:rPr>
                <w:snapToGrid/>
                <w:sz w:val="24"/>
                <w:szCs w:val="24"/>
              </w:rPr>
              <w:t>% к предыдущему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553" w:rsidRPr="00A2234C" w:rsidRDefault="00EF0553" w:rsidP="00EF0553">
            <w:pPr>
              <w:jc w:val="center"/>
              <w:rPr>
                <w:snapToGrid/>
                <w:sz w:val="24"/>
                <w:szCs w:val="24"/>
              </w:rPr>
            </w:pPr>
            <w:r w:rsidRPr="00A2234C">
              <w:rPr>
                <w:snapToGrid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23F91" w:rsidRDefault="00EF0553" w:rsidP="00F23F91">
            <w:pPr>
              <w:jc w:val="center"/>
              <w:rPr>
                <w:sz w:val="24"/>
                <w:szCs w:val="24"/>
              </w:rPr>
            </w:pPr>
            <w:r w:rsidRPr="00F23F91">
              <w:rPr>
                <w:sz w:val="24"/>
                <w:szCs w:val="24"/>
              </w:rPr>
              <w:t>10</w:t>
            </w:r>
            <w:r w:rsidR="00F23F91" w:rsidRPr="00F23F91">
              <w:rPr>
                <w:sz w:val="24"/>
                <w:szCs w:val="24"/>
              </w:rPr>
              <w:t>9</w:t>
            </w:r>
            <w:r w:rsidRPr="00F23F91">
              <w:rPr>
                <w:sz w:val="24"/>
                <w:szCs w:val="24"/>
              </w:rPr>
              <w:t>,</w:t>
            </w:r>
            <w:r w:rsidR="00F23F91" w:rsidRPr="00F23F9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23F91" w:rsidRDefault="00F23F91" w:rsidP="00EF0553">
            <w:pPr>
              <w:jc w:val="center"/>
              <w:rPr>
                <w:sz w:val="24"/>
                <w:szCs w:val="24"/>
              </w:rPr>
            </w:pPr>
            <w:r w:rsidRPr="00F23F91">
              <w:rPr>
                <w:sz w:val="24"/>
                <w:szCs w:val="24"/>
              </w:rPr>
              <w:t>48,9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C96B1A" w:rsidRDefault="00C96B1A" w:rsidP="00EF0553">
            <w:pPr>
              <w:jc w:val="center"/>
              <w:rPr>
                <w:sz w:val="24"/>
                <w:szCs w:val="24"/>
              </w:rPr>
            </w:pPr>
            <w:r w:rsidRPr="00C96B1A">
              <w:rPr>
                <w:sz w:val="24"/>
                <w:szCs w:val="24"/>
              </w:rPr>
              <w:t>65,8</w:t>
            </w:r>
          </w:p>
        </w:tc>
      </w:tr>
      <w:tr w:rsidR="00EF0553" w:rsidRPr="00A767CF" w:rsidTr="00033DDB">
        <w:trPr>
          <w:trHeight w:val="305"/>
        </w:trPr>
        <w:tc>
          <w:tcPr>
            <w:tcW w:w="2694" w:type="dxa"/>
            <w:shd w:val="clear" w:color="auto" w:fill="F2F2F2"/>
          </w:tcPr>
          <w:p w:rsidR="00EF0553" w:rsidRPr="005D3866" w:rsidRDefault="00EF0553" w:rsidP="00EF0553">
            <w:pPr>
              <w:rPr>
                <w:b/>
                <w:snapToGrid/>
                <w:sz w:val="24"/>
                <w:szCs w:val="24"/>
              </w:rPr>
            </w:pPr>
            <w:r w:rsidRPr="005D3866">
              <w:rPr>
                <w:b/>
                <w:snapToGrid/>
                <w:sz w:val="24"/>
                <w:szCs w:val="24"/>
              </w:rPr>
              <w:t>Расходы – всего: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EF0553" w:rsidRPr="00190931" w:rsidRDefault="005D3866" w:rsidP="00EF0553">
            <w:pPr>
              <w:jc w:val="center"/>
              <w:rPr>
                <w:b/>
                <w:snapToGrid/>
                <w:sz w:val="24"/>
                <w:szCs w:val="24"/>
                <w:highlight w:val="yellow"/>
              </w:rPr>
            </w:pPr>
            <w:r w:rsidRPr="005D3866">
              <w:rPr>
                <w:b/>
                <w:snapToGrid/>
                <w:sz w:val="24"/>
                <w:szCs w:val="24"/>
              </w:rPr>
              <w:t>2 420 280,0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632C4E" w:rsidRDefault="00632C4E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632C4E">
              <w:rPr>
                <w:b/>
                <w:snapToGrid/>
                <w:sz w:val="24"/>
                <w:szCs w:val="24"/>
              </w:rPr>
              <w:t>2 616 191,1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632C4E" w:rsidRDefault="00632C4E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1 418 275,3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F0553" w:rsidRPr="00632C4E" w:rsidRDefault="00632C4E" w:rsidP="00FC19FE">
            <w:pPr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1 060 985,5</w:t>
            </w:r>
          </w:p>
        </w:tc>
      </w:tr>
      <w:tr w:rsidR="00EF0553" w:rsidRPr="00A767CF" w:rsidTr="00033DDB">
        <w:trPr>
          <w:trHeight w:val="315"/>
        </w:trPr>
        <w:tc>
          <w:tcPr>
            <w:tcW w:w="2694" w:type="dxa"/>
            <w:shd w:val="clear" w:color="auto" w:fill="auto"/>
          </w:tcPr>
          <w:p w:rsidR="00EF0553" w:rsidRPr="005D3866" w:rsidRDefault="00EF0553" w:rsidP="00EF0553">
            <w:pPr>
              <w:rPr>
                <w:snapToGrid/>
                <w:sz w:val="24"/>
                <w:szCs w:val="24"/>
              </w:rPr>
            </w:pPr>
            <w:r w:rsidRPr="005D3866">
              <w:rPr>
                <w:snapToGrid/>
                <w:sz w:val="24"/>
                <w:szCs w:val="24"/>
              </w:rPr>
              <w:t>% к предыдущему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553" w:rsidRPr="00190931" w:rsidRDefault="005D3866" w:rsidP="00EF0553">
            <w:pPr>
              <w:jc w:val="center"/>
              <w:rPr>
                <w:snapToGrid/>
                <w:sz w:val="24"/>
                <w:szCs w:val="24"/>
                <w:highlight w:val="yellow"/>
              </w:rPr>
            </w:pPr>
            <w:r w:rsidRPr="005D3866">
              <w:rPr>
                <w:snapToGrid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632C4E" w:rsidRDefault="005D3866" w:rsidP="00EF0553">
            <w:pPr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632C4E" w:rsidRDefault="00632C4E" w:rsidP="00EF0553">
            <w:pPr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53" w:rsidRPr="00632C4E" w:rsidRDefault="00632C4E" w:rsidP="00EF0553">
            <w:pPr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74,8</w:t>
            </w:r>
          </w:p>
        </w:tc>
      </w:tr>
      <w:tr w:rsidR="00EF0553" w:rsidRPr="00EF0553" w:rsidTr="00033DDB">
        <w:trPr>
          <w:trHeight w:val="504"/>
        </w:trPr>
        <w:tc>
          <w:tcPr>
            <w:tcW w:w="2694" w:type="dxa"/>
            <w:shd w:val="clear" w:color="auto" w:fill="F2F2F2"/>
          </w:tcPr>
          <w:p w:rsidR="00EF0553" w:rsidRPr="00190931" w:rsidRDefault="00EF0553" w:rsidP="00EF0553">
            <w:pPr>
              <w:rPr>
                <w:b/>
                <w:snapToGrid/>
                <w:sz w:val="24"/>
                <w:szCs w:val="24"/>
                <w:highlight w:val="yellow"/>
              </w:rPr>
            </w:pPr>
            <w:r w:rsidRPr="00632C4E">
              <w:rPr>
                <w:b/>
                <w:snapToGrid/>
                <w:sz w:val="24"/>
                <w:szCs w:val="24"/>
              </w:rPr>
              <w:t>Дефицит</w:t>
            </w:r>
            <w:proofErr w:type="gramStart"/>
            <w:r w:rsidRPr="00632C4E">
              <w:rPr>
                <w:b/>
                <w:snapToGrid/>
                <w:sz w:val="24"/>
                <w:szCs w:val="24"/>
              </w:rPr>
              <w:t xml:space="preserve"> (-), </w:t>
            </w:r>
            <w:proofErr w:type="gramEnd"/>
            <w:r w:rsidRPr="00632C4E">
              <w:rPr>
                <w:b/>
                <w:snapToGrid/>
                <w:sz w:val="24"/>
                <w:szCs w:val="24"/>
              </w:rPr>
              <w:t>профицит (+)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EF0553" w:rsidRPr="00190931" w:rsidRDefault="005D3866" w:rsidP="00EF0553">
            <w:pPr>
              <w:jc w:val="center"/>
              <w:rPr>
                <w:b/>
                <w:snapToGrid/>
                <w:sz w:val="24"/>
                <w:szCs w:val="24"/>
                <w:highlight w:val="yellow"/>
              </w:rPr>
            </w:pPr>
            <w:r w:rsidRPr="005D3866">
              <w:rPr>
                <w:b/>
                <w:snapToGrid/>
                <w:sz w:val="24"/>
                <w:szCs w:val="24"/>
              </w:rPr>
              <w:t>- 49 969,4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632C4E" w:rsidRDefault="00632C4E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 w:rsidRPr="00632C4E">
              <w:rPr>
                <w:b/>
                <w:snapToGrid/>
                <w:sz w:val="24"/>
                <w:szCs w:val="24"/>
              </w:rPr>
              <w:t>- 77 334,6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F0553" w:rsidRPr="00632C4E" w:rsidRDefault="00632C4E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+10 000,0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F0553" w:rsidRPr="00632C4E" w:rsidRDefault="00632C4E" w:rsidP="00EF0553">
            <w:pPr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+11 300,0</w:t>
            </w:r>
          </w:p>
        </w:tc>
      </w:tr>
    </w:tbl>
    <w:p w:rsidR="00456467" w:rsidRPr="00027DBA" w:rsidRDefault="00456467" w:rsidP="0045646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56467" w:rsidRDefault="00456467" w:rsidP="00456467">
      <w:pPr>
        <w:pStyle w:val="25"/>
        <w:ind w:firstLine="708"/>
      </w:pPr>
      <w:r w:rsidRPr="00096123">
        <w:t>Бюджет на 202</w:t>
      </w:r>
      <w:r w:rsidR="00142402" w:rsidRPr="00096123">
        <w:t>2</w:t>
      </w:r>
      <w:r w:rsidR="00053F1C">
        <w:t xml:space="preserve"> год</w:t>
      </w:r>
      <w:r w:rsidRPr="00096123">
        <w:t xml:space="preserve"> сформирован  с учетом соблюдения предельного уровня дефицита не более 10,0% от общего объема доходов без учета объема безвозмездных поступлений.</w:t>
      </w:r>
      <w:r w:rsidR="00F86EE6">
        <w:t xml:space="preserve"> </w:t>
      </w:r>
    </w:p>
    <w:p w:rsidR="00F86EE6" w:rsidRDefault="00F86EE6" w:rsidP="00456467">
      <w:pPr>
        <w:pStyle w:val="25"/>
        <w:ind w:firstLine="708"/>
      </w:pPr>
      <w:r>
        <w:t>Источниками финансирование дефицита бюджета в 2022 году являются:</w:t>
      </w:r>
    </w:p>
    <w:p w:rsidR="00F86EE6" w:rsidRDefault="00F86EE6" w:rsidP="00456467">
      <w:pPr>
        <w:pStyle w:val="25"/>
        <w:ind w:firstLine="708"/>
      </w:pPr>
      <w:r>
        <w:t>- 37 000,0 тыс. рублей – кредиты кредитных организаций;</w:t>
      </w:r>
    </w:p>
    <w:p w:rsidR="00F86EE6" w:rsidRPr="00096123" w:rsidRDefault="00F86EE6" w:rsidP="00456467">
      <w:pPr>
        <w:pStyle w:val="25"/>
        <w:ind w:firstLine="708"/>
      </w:pPr>
      <w:r>
        <w:t>- 40 334,6 тыс. рублей – остатки на счете бюджета, сформированные на 01.01.2022.</w:t>
      </w:r>
    </w:p>
    <w:p w:rsidR="00456467" w:rsidRDefault="00456467" w:rsidP="00456467">
      <w:pPr>
        <w:pStyle w:val="25"/>
        <w:ind w:firstLine="708"/>
      </w:pPr>
      <w:r w:rsidRPr="00096123">
        <w:t>Подробное описание и обоснование объемов доходов, бюджетных ассигнований по расходам, а также по источникам финансирования дефицита бюджета городского округа Кинешма приведены в соответствующих разделах настоящей пояснительной записки.</w:t>
      </w:r>
    </w:p>
    <w:p w:rsidR="004B16E1" w:rsidRDefault="004B16E1" w:rsidP="00456467">
      <w:pPr>
        <w:pStyle w:val="25"/>
        <w:ind w:firstLine="708"/>
      </w:pPr>
    </w:p>
    <w:p w:rsidR="00EF0553" w:rsidRPr="00190931" w:rsidRDefault="00EF0553" w:rsidP="00EF0553">
      <w:pPr>
        <w:jc w:val="center"/>
        <w:rPr>
          <w:b/>
        </w:rPr>
      </w:pPr>
      <w:r w:rsidRPr="00190931">
        <w:rPr>
          <w:b/>
        </w:rPr>
        <w:t>ДОХОДЫ</w:t>
      </w:r>
    </w:p>
    <w:p w:rsidR="00EF0553" w:rsidRPr="00190931" w:rsidRDefault="00EF0553" w:rsidP="00EF0553">
      <w:pPr>
        <w:jc w:val="center"/>
        <w:rPr>
          <w:b/>
        </w:rPr>
      </w:pPr>
    </w:p>
    <w:p w:rsidR="00EF0553" w:rsidRPr="00190931" w:rsidRDefault="00EF0553" w:rsidP="00EF0553">
      <w:pPr>
        <w:ind w:firstLine="708"/>
        <w:jc w:val="both"/>
      </w:pPr>
      <w:r w:rsidRPr="00190931">
        <w:t>Прогнозируемый объем налоговых и неналоговых доходов бюджета г</w:t>
      </w:r>
      <w:r w:rsidR="00190931" w:rsidRPr="00190931">
        <w:t>ородского округа Кинешма на 2022</w:t>
      </w:r>
      <w:r w:rsidRPr="00190931">
        <w:t xml:space="preserve"> год и плановый период 202</w:t>
      </w:r>
      <w:r w:rsidR="00190931" w:rsidRPr="00190931">
        <w:t>3</w:t>
      </w:r>
      <w:r w:rsidRPr="00190931">
        <w:t xml:space="preserve"> и 202</w:t>
      </w:r>
      <w:r w:rsidR="00190931" w:rsidRPr="00190931">
        <w:t>4</w:t>
      </w:r>
      <w:r w:rsidRPr="00190931">
        <w:t xml:space="preserve"> годов определен исходя из ожидаемой оценки поступлений налоговых и неналоговых </w:t>
      </w:r>
      <w:r w:rsidRPr="00190931">
        <w:lastRenderedPageBreak/>
        <w:t xml:space="preserve">доходов и других обязательных платежей, а также на основании данных главных администраторов доходов. </w:t>
      </w:r>
    </w:p>
    <w:p w:rsidR="00EF0553" w:rsidRPr="00190931" w:rsidRDefault="00EF0553" w:rsidP="00EF0553">
      <w:pPr>
        <w:ind w:firstLine="708"/>
        <w:jc w:val="both"/>
      </w:pPr>
      <w:r w:rsidRPr="00190931">
        <w:t>Прогноз поступлений рассчитан в соответствии со статьей 160.1 Бюджетного кодекса РФ, Постановлением Правительства РФ от 23.06.2016 № 574 «Об общих требованиях к методике прогнозирования поступлений доходов в бюджеты бюджетной системы Российской Федерации», а также методиками, утвержденными главными администраторами доходов бюджета городского округа Кинешма.</w:t>
      </w:r>
    </w:p>
    <w:p w:rsidR="00EF0553" w:rsidRPr="00A767CF" w:rsidRDefault="00EF0553" w:rsidP="00EF0553">
      <w:pPr>
        <w:keepNext/>
        <w:jc w:val="center"/>
        <w:outlineLvl w:val="7"/>
        <w:rPr>
          <w:b/>
          <w:snapToGrid/>
          <w:highlight w:val="yellow"/>
        </w:rPr>
      </w:pPr>
    </w:p>
    <w:p w:rsidR="00EF0553" w:rsidRPr="00190931" w:rsidRDefault="00EF0553" w:rsidP="00EF0553">
      <w:pPr>
        <w:keepNext/>
        <w:jc w:val="center"/>
        <w:outlineLvl w:val="7"/>
        <w:rPr>
          <w:b/>
          <w:snapToGrid/>
        </w:rPr>
      </w:pPr>
      <w:r w:rsidRPr="00190931">
        <w:rPr>
          <w:b/>
          <w:snapToGrid/>
        </w:rPr>
        <w:t>НАЛОГОВЫЕ И НЕНАЛОГОВЫЕ ДОХОДЫ</w:t>
      </w:r>
    </w:p>
    <w:p w:rsidR="00EF0553" w:rsidRPr="00A767CF" w:rsidRDefault="00EF0553" w:rsidP="00EF0553">
      <w:pPr>
        <w:rPr>
          <w:highlight w:val="yellow"/>
        </w:rPr>
      </w:pPr>
    </w:p>
    <w:p w:rsidR="00EF0553" w:rsidRDefault="00EF0553" w:rsidP="00EF0553">
      <w:pPr>
        <w:jc w:val="center"/>
        <w:rPr>
          <w:b/>
        </w:rPr>
      </w:pPr>
      <w:r w:rsidRPr="00190931">
        <w:rPr>
          <w:b/>
        </w:rPr>
        <w:t>Налоговые доходы</w:t>
      </w:r>
    </w:p>
    <w:p w:rsidR="00B23825" w:rsidRPr="00190931" w:rsidRDefault="00B23825" w:rsidP="00EF0553">
      <w:pPr>
        <w:jc w:val="center"/>
        <w:rPr>
          <w:b/>
        </w:rPr>
      </w:pPr>
    </w:p>
    <w:p w:rsidR="00EF0553" w:rsidRPr="00190931" w:rsidRDefault="00EF0553" w:rsidP="00EF0553">
      <w:pPr>
        <w:ind w:firstLine="709"/>
        <w:jc w:val="both"/>
      </w:pPr>
      <w:r w:rsidRPr="00190931">
        <w:t xml:space="preserve">Администратором поступлений основной суммы налоговых доходов в бюджет городского округа Кинешма </w:t>
      </w:r>
      <w:r w:rsidRPr="00190931">
        <w:rPr>
          <w:i/>
        </w:rPr>
        <w:t>(за исключением акцизов и государственной пошлины на установку и эксплуатацию рекламной конструкции)</w:t>
      </w:r>
      <w:r w:rsidRPr="00190931">
        <w:t xml:space="preserve"> является МИФНС России №5 по Ивановской области.</w:t>
      </w:r>
    </w:p>
    <w:p w:rsidR="00EF0553" w:rsidRPr="0039378D" w:rsidRDefault="00EF0553" w:rsidP="00EF0553">
      <w:pPr>
        <w:ind w:firstLine="709"/>
        <w:jc w:val="both"/>
      </w:pPr>
      <w:r w:rsidRPr="00190931">
        <w:t xml:space="preserve">Прогноз поступлений налоговых доходов составлен на основании прогнозов главных администраторов, данных форм статистической налоговой отчетности (формы 7-НДФЛ, 5-МН, 5-ЕНВД, 5-ЕСХН, 5-УСН и пр.), с применением норм налогового и бюджетного законодательства, действующего </w:t>
      </w:r>
      <w:r w:rsidRPr="0039378D">
        <w:t>по состоянию на 01.10.202</w:t>
      </w:r>
      <w:r w:rsidR="00190931" w:rsidRPr="0039378D">
        <w:t>1</w:t>
      </w:r>
      <w:r w:rsidRPr="0039378D">
        <w:t xml:space="preserve">. Прогноз составлен </w:t>
      </w:r>
      <w:proofErr w:type="gramStart"/>
      <w:r w:rsidRPr="0039378D">
        <w:t>исходя из консервативного сценария, что учитывает</w:t>
      </w:r>
      <w:proofErr w:type="gramEnd"/>
      <w:r w:rsidRPr="0039378D">
        <w:t xml:space="preserve"> все возможные риски, возникающие при исполнении бюджета, связанные, в том числе, с распространением новой </w:t>
      </w:r>
      <w:proofErr w:type="spellStart"/>
      <w:r w:rsidRPr="0039378D">
        <w:t>коронавирусной</w:t>
      </w:r>
      <w:proofErr w:type="spellEnd"/>
      <w:r w:rsidRPr="0039378D">
        <w:t xml:space="preserve"> инфекции. </w:t>
      </w:r>
    </w:p>
    <w:p w:rsidR="00EF0553" w:rsidRDefault="00EF0553" w:rsidP="00EF0553">
      <w:pPr>
        <w:ind w:firstLine="708"/>
        <w:jc w:val="both"/>
      </w:pPr>
      <w:r w:rsidRPr="00190931">
        <w:t xml:space="preserve">Структура </w:t>
      </w:r>
      <w:r w:rsidRPr="00190931">
        <w:rPr>
          <w:b/>
          <w:u w:val="single"/>
        </w:rPr>
        <w:t>налоговых доходов</w:t>
      </w:r>
      <w:r w:rsidRPr="00190931">
        <w:t xml:space="preserve"> на 202</w:t>
      </w:r>
      <w:r w:rsidR="00190931" w:rsidRPr="00190931">
        <w:t>2</w:t>
      </w:r>
      <w:r w:rsidRPr="00190931">
        <w:t xml:space="preserve"> - 202</w:t>
      </w:r>
      <w:r w:rsidR="00190931" w:rsidRPr="00190931">
        <w:t>4</w:t>
      </w:r>
      <w:r w:rsidRPr="00190931">
        <w:t xml:space="preserve"> годы и </w:t>
      </w:r>
      <w:r w:rsidR="00965781">
        <w:t>план на</w:t>
      </w:r>
      <w:r w:rsidRPr="00190931">
        <w:t xml:space="preserve"> 202</w:t>
      </w:r>
      <w:r w:rsidR="00190931" w:rsidRPr="00190931">
        <w:t>1</w:t>
      </w:r>
      <w:r w:rsidRPr="00190931">
        <w:t xml:space="preserve"> год приведены в таблице:</w:t>
      </w:r>
    </w:p>
    <w:p w:rsidR="00F86EE6" w:rsidRPr="00190931" w:rsidRDefault="00F86EE6" w:rsidP="00EF0553">
      <w:pPr>
        <w:ind w:firstLine="708"/>
        <w:jc w:val="both"/>
      </w:pPr>
    </w:p>
    <w:p w:rsidR="00EF0553" w:rsidRPr="00190931" w:rsidRDefault="00EF0553" w:rsidP="00EF0553">
      <w:pPr>
        <w:jc w:val="right"/>
      </w:pPr>
      <w:r w:rsidRPr="00190931">
        <w:rPr>
          <w:sz w:val="24"/>
          <w:szCs w:val="24"/>
        </w:rPr>
        <w:t>(тыс. руб.)</w:t>
      </w:r>
    </w:p>
    <w:tbl>
      <w:tblPr>
        <w:tblpPr w:leftFromText="180" w:rightFromText="180" w:vertAnchor="text" w:horzAnchor="margin" w:tblpX="-135" w:tblpY="130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1116"/>
        <w:gridCol w:w="981"/>
        <w:gridCol w:w="1106"/>
        <w:gridCol w:w="699"/>
        <w:gridCol w:w="1106"/>
        <w:gridCol w:w="699"/>
        <w:gridCol w:w="1104"/>
        <w:gridCol w:w="691"/>
      </w:tblGrid>
      <w:tr w:rsidR="00EF0553" w:rsidRPr="00190931" w:rsidTr="00033DDB">
        <w:tc>
          <w:tcPr>
            <w:tcW w:w="1243" w:type="pct"/>
            <w:vMerge w:val="restart"/>
            <w:shd w:val="clear" w:color="auto" w:fill="auto"/>
            <w:vAlign w:val="center"/>
          </w:tcPr>
          <w:p w:rsidR="00EF0553" w:rsidRPr="0019093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190931">
              <w:rPr>
                <w:b/>
                <w:snapToGrid/>
                <w:sz w:val="20"/>
                <w:szCs w:val="20"/>
              </w:rPr>
              <w:t xml:space="preserve">Наименование </w:t>
            </w:r>
          </w:p>
          <w:p w:rsidR="00EF0553" w:rsidRPr="0019093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190931">
              <w:rPr>
                <w:b/>
                <w:snapToGrid/>
                <w:sz w:val="20"/>
                <w:szCs w:val="20"/>
              </w:rPr>
              <w:t>кода поступлений</w:t>
            </w:r>
          </w:p>
          <w:p w:rsidR="00EF0553" w:rsidRPr="00190931" w:rsidRDefault="00EF0553" w:rsidP="00EF05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:rsidR="00EF0553" w:rsidRPr="000C5FE8" w:rsidRDefault="00EF0553" w:rsidP="00EF0553">
            <w:pPr>
              <w:jc w:val="center"/>
              <w:rPr>
                <w:b/>
                <w:sz w:val="20"/>
                <w:szCs w:val="20"/>
              </w:rPr>
            </w:pPr>
            <w:r w:rsidRPr="000C5FE8">
              <w:rPr>
                <w:b/>
                <w:sz w:val="20"/>
                <w:szCs w:val="20"/>
              </w:rPr>
              <w:t>202</w:t>
            </w:r>
            <w:r w:rsidR="00190931" w:rsidRPr="000C5FE8">
              <w:rPr>
                <w:b/>
                <w:sz w:val="20"/>
                <w:szCs w:val="20"/>
              </w:rPr>
              <w:t>1</w:t>
            </w:r>
            <w:r w:rsidRPr="000C5FE8">
              <w:rPr>
                <w:b/>
                <w:sz w:val="20"/>
                <w:szCs w:val="20"/>
              </w:rPr>
              <w:t xml:space="preserve"> год</w:t>
            </w:r>
          </w:p>
          <w:p w:rsidR="00EF0553" w:rsidRPr="000C5FE8" w:rsidRDefault="00EF0553" w:rsidP="00965781">
            <w:pPr>
              <w:jc w:val="center"/>
              <w:rPr>
                <w:b/>
                <w:sz w:val="20"/>
                <w:szCs w:val="20"/>
              </w:rPr>
            </w:pPr>
            <w:r w:rsidRPr="000C5FE8">
              <w:rPr>
                <w:b/>
                <w:sz w:val="20"/>
                <w:szCs w:val="20"/>
              </w:rPr>
              <w:t>(</w:t>
            </w:r>
            <w:r w:rsidR="00965781" w:rsidRPr="000C5FE8">
              <w:rPr>
                <w:b/>
                <w:sz w:val="20"/>
                <w:szCs w:val="20"/>
              </w:rPr>
              <w:t>план на 01.10.2021</w:t>
            </w:r>
            <w:r w:rsidRPr="000C5FE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EF0553" w:rsidRPr="00190931" w:rsidRDefault="00EF0553" w:rsidP="00190931">
            <w:pPr>
              <w:jc w:val="center"/>
              <w:rPr>
                <w:b/>
                <w:sz w:val="20"/>
                <w:szCs w:val="20"/>
              </w:rPr>
            </w:pPr>
            <w:r w:rsidRPr="00190931">
              <w:rPr>
                <w:b/>
                <w:sz w:val="20"/>
                <w:szCs w:val="20"/>
              </w:rPr>
              <w:t>202</w:t>
            </w:r>
            <w:r w:rsidR="00190931" w:rsidRPr="00190931">
              <w:rPr>
                <w:b/>
                <w:sz w:val="20"/>
                <w:szCs w:val="20"/>
              </w:rPr>
              <w:t>2</w:t>
            </w:r>
            <w:r w:rsidRPr="0019093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04" w:type="pct"/>
            <w:gridSpan w:val="2"/>
            <w:shd w:val="clear" w:color="auto" w:fill="auto"/>
            <w:vAlign w:val="center"/>
          </w:tcPr>
          <w:p w:rsidR="00EF0553" w:rsidRPr="00190931" w:rsidRDefault="00190931" w:rsidP="00EF0553">
            <w:pPr>
              <w:jc w:val="center"/>
              <w:rPr>
                <w:b/>
                <w:sz w:val="20"/>
                <w:szCs w:val="20"/>
              </w:rPr>
            </w:pPr>
            <w:r w:rsidRPr="00190931">
              <w:rPr>
                <w:b/>
                <w:sz w:val="20"/>
                <w:szCs w:val="20"/>
              </w:rPr>
              <w:t>2023</w:t>
            </w:r>
            <w:r w:rsidR="00EF0553" w:rsidRPr="0019093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EF0553" w:rsidRPr="00190931" w:rsidRDefault="00EF0553" w:rsidP="00190931">
            <w:pPr>
              <w:jc w:val="center"/>
              <w:rPr>
                <w:b/>
                <w:sz w:val="20"/>
                <w:szCs w:val="20"/>
              </w:rPr>
            </w:pPr>
            <w:r w:rsidRPr="00190931">
              <w:rPr>
                <w:b/>
                <w:sz w:val="20"/>
                <w:szCs w:val="20"/>
              </w:rPr>
              <w:t>202</w:t>
            </w:r>
            <w:r w:rsidR="00190931" w:rsidRPr="00190931">
              <w:rPr>
                <w:b/>
                <w:sz w:val="20"/>
                <w:szCs w:val="20"/>
              </w:rPr>
              <w:t>4</w:t>
            </w:r>
            <w:r w:rsidRPr="0019093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F0553" w:rsidRPr="00A767CF" w:rsidTr="00033DDB">
        <w:trPr>
          <w:cantSplit/>
          <w:trHeight w:val="2006"/>
        </w:trPr>
        <w:tc>
          <w:tcPr>
            <w:tcW w:w="1243" w:type="pct"/>
            <w:vMerge/>
            <w:shd w:val="clear" w:color="auto" w:fill="auto"/>
          </w:tcPr>
          <w:p w:rsidR="00EF0553" w:rsidRPr="00190931" w:rsidRDefault="00EF0553" w:rsidP="00EF0553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EF0553" w:rsidRPr="000C5FE8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0C5FE8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491" w:type="pct"/>
            <w:shd w:val="clear" w:color="auto" w:fill="auto"/>
            <w:textDirection w:val="btLr"/>
            <w:vAlign w:val="center"/>
          </w:tcPr>
          <w:p w:rsidR="00EF0553" w:rsidRP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proofErr w:type="gramStart"/>
            <w:r w:rsidRPr="000C5FE8">
              <w:rPr>
                <w:b/>
                <w:snapToGrid/>
                <w:sz w:val="20"/>
                <w:szCs w:val="20"/>
              </w:rPr>
              <w:t>в</w:t>
            </w:r>
            <w:proofErr w:type="gramEnd"/>
            <w:r w:rsidRPr="000C5FE8">
              <w:rPr>
                <w:b/>
                <w:snapToGrid/>
                <w:sz w:val="20"/>
                <w:szCs w:val="20"/>
              </w:rPr>
              <w:t xml:space="preserve"> % к общей сумме налоговых доходов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F0553" w:rsidRPr="0019093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19093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350" w:type="pct"/>
            <w:shd w:val="clear" w:color="auto" w:fill="auto"/>
            <w:textDirection w:val="btLr"/>
            <w:vAlign w:val="center"/>
          </w:tcPr>
          <w:p w:rsidR="00EF0553" w:rsidRPr="0019093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proofErr w:type="gramStart"/>
            <w:r w:rsidRPr="00190931">
              <w:rPr>
                <w:b/>
                <w:snapToGrid/>
                <w:sz w:val="20"/>
                <w:szCs w:val="20"/>
              </w:rPr>
              <w:t>в</w:t>
            </w:r>
            <w:proofErr w:type="gramEnd"/>
            <w:r w:rsidRPr="00190931">
              <w:rPr>
                <w:b/>
                <w:snapToGrid/>
                <w:sz w:val="20"/>
                <w:szCs w:val="20"/>
              </w:rPr>
              <w:t xml:space="preserve"> % к общей сумме налоговых доходов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F0553" w:rsidRPr="0019093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19093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350" w:type="pct"/>
            <w:shd w:val="clear" w:color="auto" w:fill="auto"/>
            <w:textDirection w:val="btLr"/>
            <w:vAlign w:val="center"/>
          </w:tcPr>
          <w:p w:rsidR="00EF0553" w:rsidRPr="0019093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proofErr w:type="gramStart"/>
            <w:r w:rsidRPr="00190931">
              <w:rPr>
                <w:b/>
                <w:snapToGrid/>
                <w:sz w:val="20"/>
                <w:szCs w:val="20"/>
              </w:rPr>
              <w:t>в</w:t>
            </w:r>
            <w:proofErr w:type="gramEnd"/>
            <w:r w:rsidRPr="00190931">
              <w:rPr>
                <w:b/>
                <w:snapToGrid/>
                <w:sz w:val="20"/>
                <w:szCs w:val="20"/>
              </w:rPr>
              <w:t xml:space="preserve"> % к общей сумме налоговых доходов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EF0553" w:rsidRPr="0019093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19093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346" w:type="pct"/>
            <w:shd w:val="clear" w:color="auto" w:fill="auto"/>
            <w:textDirection w:val="btLr"/>
            <w:vAlign w:val="center"/>
          </w:tcPr>
          <w:p w:rsidR="00EF0553" w:rsidRPr="0019093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proofErr w:type="gramStart"/>
            <w:r w:rsidRPr="00190931">
              <w:rPr>
                <w:b/>
                <w:snapToGrid/>
                <w:sz w:val="20"/>
                <w:szCs w:val="20"/>
              </w:rPr>
              <w:t>в</w:t>
            </w:r>
            <w:proofErr w:type="gramEnd"/>
            <w:r w:rsidRPr="00190931">
              <w:rPr>
                <w:b/>
                <w:snapToGrid/>
                <w:sz w:val="20"/>
                <w:szCs w:val="20"/>
              </w:rPr>
              <w:t xml:space="preserve"> % к общей сумме налоговых доходов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outlineLvl w:val="7"/>
              <w:rPr>
                <w:b/>
                <w:snapToGrid/>
                <w:szCs w:val="20"/>
              </w:rPr>
            </w:pPr>
            <w:r w:rsidRPr="00E53325">
              <w:rPr>
                <w:snapToGrid/>
                <w:sz w:val="18"/>
                <w:szCs w:val="18"/>
              </w:rPr>
              <w:t>НДФЛ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163 417,8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53,</w:t>
            </w:r>
            <w:r>
              <w:rPr>
                <w:snapToGrid/>
                <w:sz w:val="20"/>
                <w:szCs w:val="20"/>
              </w:rPr>
              <w:t>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169 950,0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54,6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175 050,0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54,7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180 125,0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54,9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sz w:val="18"/>
                <w:szCs w:val="18"/>
              </w:rPr>
            </w:pPr>
            <w:r w:rsidRPr="00E53325">
              <w:rPr>
                <w:rFonts w:eastAsia="Calibri"/>
                <w:snapToGrid/>
                <w:sz w:val="18"/>
                <w:szCs w:val="18"/>
              </w:rPr>
              <w:t>Акцизы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E53325">
              <w:rPr>
                <w:snapToGrid/>
                <w:sz w:val="20"/>
                <w:szCs w:val="20"/>
              </w:rPr>
              <w:t>8 487,8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2,</w:t>
            </w:r>
            <w:r>
              <w:rPr>
                <w:snapToGrid/>
                <w:sz w:val="20"/>
                <w:szCs w:val="20"/>
              </w:rPr>
              <w:t>8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8</w:t>
            </w:r>
            <w:r>
              <w:rPr>
                <w:snapToGrid/>
                <w:sz w:val="20"/>
                <w:szCs w:val="20"/>
              </w:rPr>
              <w:t> 886,4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2,9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9 057,9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2,8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9 237,5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2,8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outlineLvl w:val="7"/>
              <w:rPr>
                <w:snapToGrid/>
                <w:sz w:val="18"/>
                <w:szCs w:val="18"/>
              </w:rPr>
            </w:pPr>
            <w:r w:rsidRPr="00E53325">
              <w:rPr>
                <w:snapToGrid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32 189,3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10</w:t>
            </w:r>
            <w:r w:rsidRPr="000D4D7A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2</w:t>
            </w:r>
            <w:r>
              <w:rPr>
                <w:snapToGrid/>
                <w:sz w:val="20"/>
                <w:szCs w:val="20"/>
              </w:rPr>
              <w:t>8</w:t>
            </w:r>
            <w:r w:rsidRPr="005D367A">
              <w:rPr>
                <w:snapToGrid/>
                <w:sz w:val="20"/>
                <w:szCs w:val="20"/>
              </w:rPr>
              <w:t> </w:t>
            </w:r>
            <w:r>
              <w:rPr>
                <w:snapToGrid/>
                <w:sz w:val="20"/>
                <w:szCs w:val="20"/>
              </w:rPr>
              <w:t>754</w:t>
            </w:r>
            <w:r w:rsidRPr="005D367A">
              <w:rPr>
                <w:snapToGrid/>
                <w:sz w:val="20"/>
                <w:szCs w:val="20"/>
              </w:rPr>
              <w:t>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9,</w:t>
            </w:r>
            <w:r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30 354,0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9</w:t>
            </w:r>
            <w:r w:rsidRPr="003C2BF1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32 254,0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9,8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outlineLvl w:val="7"/>
              <w:rPr>
                <w:snapToGrid/>
                <w:sz w:val="18"/>
                <w:szCs w:val="18"/>
              </w:rPr>
            </w:pPr>
            <w:r w:rsidRPr="00E53325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E53325">
              <w:rPr>
                <w:snapToGrid/>
                <w:sz w:val="20"/>
                <w:szCs w:val="20"/>
              </w:rPr>
              <w:t>15 000,0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4,9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</w:t>
            </w:r>
            <w:r>
              <w:rPr>
                <w:snapToGrid/>
                <w:sz w:val="20"/>
                <w:szCs w:val="20"/>
              </w:rPr>
              <w:t>4</w:t>
            </w:r>
            <w:r w:rsidRPr="005D367A">
              <w:rPr>
                <w:snapToGrid/>
                <w:sz w:val="20"/>
                <w:szCs w:val="20"/>
              </w:rPr>
              <w:t> 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4</w:t>
            </w:r>
            <w:r w:rsidRPr="003C2BF1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14 000,0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4,4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4,3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rPr>
                <w:sz w:val="18"/>
                <w:szCs w:val="18"/>
              </w:rPr>
            </w:pPr>
            <w:r w:rsidRPr="00E5332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58 0</w:t>
            </w:r>
            <w:r w:rsidRPr="00E53325">
              <w:rPr>
                <w:snapToGrid/>
                <w:sz w:val="20"/>
                <w:szCs w:val="20"/>
              </w:rPr>
              <w:t>00</w:t>
            </w:r>
            <w:r>
              <w:rPr>
                <w:snapToGrid/>
                <w:sz w:val="20"/>
                <w:szCs w:val="20"/>
              </w:rPr>
              <w:t>,</w:t>
            </w:r>
            <w:r w:rsidRPr="00E53325">
              <w:rPr>
                <w:snapToGrid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19,</w:t>
            </w:r>
            <w:r>
              <w:rPr>
                <w:snapToGrid/>
                <w:sz w:val="20"/>
                <w:szCs w:val="20"/>
              </w:rPr>
              <w:t>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61</w:t>
            </w:r>
            <w:r w:rsidRPr="005D367A">
              <w:rPr>
                <w:snapToGrid/>
                <w:sz w:val="20"/>
                <w:szCs w:val="20"/>
              </w:rPr>
              <w:t> 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19,6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62 000,0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19,4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63 000,0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19,2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rPr>
                <w:sz w:val="18"/>
                <w:szCs w:val="18"/>
              </w:rPr>
            </w:pPr>
            <w:r w:rsidRPr="00E5332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jc w:val="center"/>
              <w:rPr>
                <w:sz w:val="20"/>
                <w:szCs w:val="20"/>
              </w:rPr>
            </w:pPr>
            <w:r w:rsidRPr="00E533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E53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E53325">
              <w:rPr>
                <w:sz w:val="20"/>
                <w:szCs w:val="20"/>
              </w:rPr>
              <w:t>00,0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5,5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jc w:val="center"/>
              <w:rPr>
                <w:sz w:val="20"/>
                <w:szCs w:val="20"/>
              </w:rPr>
            </w:pPr>
            <w:r w:rsidRPr="005D3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D36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5D367A">
              <w:rPr>
                <w:sz w:val="20"/>
                <w:szCs w:val="20"/>
              </w:rPr>
              <w:t>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5,5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jc w:val="center"/>
              <w:rPr>
                <w:sz w:val="20"/>
                <w:szCs w:val="20"/>
              </w:rPr>
            </w:pPr>
            <w:r w:rsidRPr="005D367A">
              <w:rPr>
                <w:sz w:val="20"/>
                <w:szCs w:val="20"/>
              </w:rPr>
              <w:t>17 500,0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jc w:val="center"/>
              <w:rPr>
                <w:sz w:val="20"/>
                <w:szCs w:val="20"/>
              </w:rPr>
            </w:pPr>
            <w:r w:rsidRPr="005D367A">
              <w:rPr>
                <w:sz w:val="20"/>
                <w:szCs w:val="20"/>
              </w:rPr>
              <w:t>17 500,0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5,3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outlineLvl w:val="7"/>
              <w:rPr>
                <w:snapToGrid/>
                <w:sz w:val="18"/>
                <w:szCs w:val="18"/>
              </w:rPr>
            </w:pPr>
            <w:r w:rsidRPr="00E53325">
              <w:rPr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E53325">
              <w:rPr>
                <w:snapToGrid/>
                <w:sz w:val="20"/>
                <w:szCs w:val="20"/>
              </w:rPr>
              <w:t>11 055,0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3,6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11 </w:t>
            </w:r>
            <w:r>
              <w:rPr>
                <w:snapToGrid/>
                <w:sz w:val="20"/>
                <w:szCs w:val="20"/>
              </w:rPr>
              <w:t>53</w:t>
            </w:r>
            <w:r w:rsidRPr="005D367A"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3,7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12 0</w:t>
            </w:r>
            <w:r>
              <w:rPr>
                <w:snapToGrid/>
                <w:sz w:val="20"/>
                <w:szCs w:val="20"/>
              </w:rPr>
              <w:t>3</w:t>
            </w:r>
            <w:r w:rsidRPr="005D367A"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color w:val="000000"/>
                <w:sz w:val="20"/>
                <w:szCs w:val="20"/>
              </w:rPr>
            </w:pPr>
            <w:r w:rsidRPr="005D367A">
              <w:rPr>
                <w:snapToGrid/>
                <w:color w:val="000000"/>
                <w:sz w:val="20"/>
                <w:szCs w:val="20"/>
              </w:rPr>
              <w:t>12 2</w:t>
            </w:r>
            <w:r>
              <w:rPr>
                <w:snapToGrid/>
                <w:color w:val="000000"/>
                <w:sz w:val="20"/>
                <w:szCs w:val="20"/>
              </w:rPr>
              <w:t>3</w:t>
            </w:r>
            <w:r w:rsidRPr="005D367A">
              <w:rPr>
                <w:snapToGrid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3,7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outlineLvl w:val="7"/>
              <w:rPr>
                <w:snapToGrid/>
                <w:sz w:val="18"/>
                <w:szCs w:val="18"/>
              </w:rPr>
            </w:pPr>
            <w:r w:rsidRPr="00E53325">
              <w:rPr>
                <w:snapToGrid/>
                <w:sz w:val="18"/>
                <w:szCs w:val="18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0D4D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3C2BF1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3C2BF1">
              <w:rPr>
                <w:snapToGrid/>
                <w:sz w:val="20"/>
                <w:szCs w:val="20"/>
              </w:rPr>
              <w:t>-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5D367A">
              <w:rPr>
                <w:snapToGrid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0B5927" w:rsidRDefault="000C5FE8" w:rsidP="000C5FE8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B5927">
              <w:rPr>
                <w:snapToGrid/>
                <w:sz w:val="20"/>
                <w:szCs w:val="20"/>
              </w:rPr>
              <w:t>-</w:t>
            </w:r>
          </w:p>
        </w:tc>
      </w:tr>
      <w:tr w:rsidR="000C5FE8" w:rsidRPr="00A767CF" w:rsidTr="00033DDB">
        <w:tc>
          <w:tcPr>
            <w:tcW w:w="1243" w:type="pct"/>
            <w:shd w:val="clear" w:color="auto" w:fill="auto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E53325">
              <w:rPr>
                <w:b/>
                <w:snapToGrid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0C5FE8" w:rsidRPr="00E53325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>
              <w:rPr>
                <w:b/>
                <w:snapToGrid/>
                <w:sz w:val="20"/>
                <w:szCs w:val="20"/>
              </w:rPr>
              <w:t>304 949,9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100,0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311 120,4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100,0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319 991,9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100,0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328 346,5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C5FE8" w:rsidRPr="005D367A" w:rsidRDefault="000C5FE8" w:rsidP="000C5FE8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5D367A">
              <w:rPr>
                <w:b/>
                <w:snapToGrid/>
                <w:sz w:val="20"/>
                <w:szCs w:val="20"/>
              </w:rPr>
              <w:t>100,0</w:t>
            </w:r>
          </w:p>
        </w:tc>
      </w:tr>
    </w:tbl>
    <w:p w:rsidR="00EF0553" w:rsidRPr="00A767CF" w:rsidRDefault="00EF0553" w:rsidP="00EF0553">
      <w:pPr>
        <w:jc w:val="both"/>
        <w:rPr>
          <w:snapToGrid/>
          <w:highlight w:val="yellow"/>
        </w:rPr>
      </w:pPr>
    </w:p>
    <w:p w:rsidR="00EF0553" w:rsidRPr="00190931" w:rsidRDefault="00EF0553" w:rsidP="00EF0553">
      <w:pPr>
        <w:jc w:val="center"/>
        <w:rPr>
          <w:b/>
          <w:snapToGrid/>
        </w:rPr>
      </w:pPr>
      <w:r w:rsidRPr="00190931">
        <w:rPr>
          <w:b/>
          <w:snapToGrid/>
        </w:rPr>
        <w:t>Налог на доходы физических лиц</w:t>
      </w:r>
    </w:p>
    <w:p w:rsidR="00EF0553" w:rsidRPr="000B5927" w:rsidRDefault="00EF0553" w:rsidP="00EF0553">
      <w:pPr>
        <w:ind w:firstLine="709"/>
        <w:jc w:val="both"/>
        <w:rPr>
          <w:snapToGrid/>
        </w:rPr>
      </w:pPr>
      <w:r w:rsidRPr="00190931">
        <w:rPr>
          <w:snapToGrid/>
        </w:rPr>
        <w:t>Доля налога на доходы физических лиц в структуре прогноза налоговых доходов в бюджете городского округа на 202</w:t>
      </w:r>
      <w:r w:rsidR="00190931" w:rsidRPr="00190931">
        <w:rPr>
          <w:snapToGrid/>
        </w:rPr>
        <w:t>2</w:t>
      </w:r>
      <w:r w:rsidRPr="00190931">
        <w:rPr>
          <w:snapToGrid/>
        </w:rPr>
        <w:t xml:space="preserve"> год </w:t>
      </w:r>
      <w:r w:rsidRPr="000B5927">
        <w:rPr>
          <w:snapToGrid/>
        </w:rPr>
        <w:t xml:space="preserve">составляет </w:t>
      </w:r>
      <w:r w:rsidR="000B5927" w:rsidRPr="000B5927">
        <w:rPr>
          <w:b/>
          <w:snapToGrid/>
        </w:rPr>
        <w:t>54,6</w:t>
      </w:r>
      <w:r w:rsidRPr="000B5927">
        <w:rPr>
          <w:b/>
          <w:snapToGrid/>
        </w:rPr>
        <w:t xml:space="preserve">%. </w:t>
      </w:r>
      <w:r w:rsidRPr="000B5927">
        <w:rPr>
          <w:snapToGrid/>
        </w:rPr>
        <w:t xml:space="preserve">В плановом периоде доля НДФЛ в структуре налоговых доходов </w:t>
      </w:r>
      <w:r w:rsidR="00B23825">
        <w:rPr>
          <w:snapToGrid/>
        </w:rPr>
        <w:t>меняется незначительно</w:t>
      </w:r>
      <w:r w:rsidRPr="000B5927">
        <w:rPr>
          <w:snapToGrid/>
        </w:rPr>
        <w:t>.</w:t>
      </w:r>
    </w:p>
    <w:p w:rsidR="00EF0553" w:rsidRPr="000602CF" w:rsidRDefault="00EF0553" w:rsidP="00EF0553">
      <w:pPr>
        <w:spacing w:after="120"/>
        <w:ind w:firstLine="709"/>
        <w:jc w:val="both"/>
      </w:pPr>
      <w:r w:rsidRPr="000602CF">
        <w:t>Прогноз поступления налога на доходы физических лиц представлен главным администратором - МИФНС России №5 по Ивановской области и сформирован финансовым управлением с учетом следующих факторов:</w:t>
      </w:r>
    </w:p>
    <w:p w:rsidR="00EF0553" w:rsidRPr="0039378D" w:rsidRDefault="00EF0553" w:rsidP="00EF0553">
      <w:pPr>
        <w:ind w:firstLine="709"/>
        <w:jc w:val="both"/>
      </w:pPr>
      <w:r w:rsidRPr="00821282">
        <w:t xml:space="preserve">- норматив отчислений НДФЛ в бюджеты городских округов в соответствии с действующим законодательством не изменился и остается на уровне 25% (50% НДФЛ с доходов, полученных физическими лицами, </w:t>
      </w:r>
      <w:r w:rsidRPr="0039378D">
        <w:t>являющимися иностранными гражданами</w:t>
      </w:r>
      <w:r w:rsidR="00190931" w:rsidRPr="0039378D">
        <w:t xml:space="preserve">; 23 % </w:t>
      </w:r>
      <w:r w:rsidR="00821282" w:rsidRPr="0039378D">
        <w:t>НДФЛ части суммы налога, превышающей 650 000 рублей, относящейся к части налоговой базы, превышающей 5 000 000 рублей</w:t>
      </w:r>
      <w:r w:rsidRPr="0039378D">
        <w:t>);</w:t>
      </w:r>
    </w:p>
    <w:p w:rsidR="00EF0553" w:rsidRPr="00190931" w:rsidRDefault="00EF0553" w:rsidP="00EF0553">
      <w:pPr>
        <w:ind w:firstLine="709"/>
        <w:jc w:val="both"/>
      </w:pPr>
      <w:r w:rsidRPr="0039378D">
        <w:t>- при расчете НДФЛ на 202</w:t>
      </w:r>
      <w:r w:rsidR="00190931" w:rsidRPr="0039378D">
        <w:t>2</w:t>
      </w:r>
      <w:r w:rsidRPr="0039378D">
        <w:t xml:space="preserve"> год учтен рост налоговой базы НДФЛ за счет планируе</w:t>
      </w:r>
      <w:r w:rsidR="00190931" w:rsidRPr="0039378D">
        <w:t>мого повышения МРОТ с 01.01.2022</w:t>
      </w:r>
      <w:r w:rsidRPr="0039378D">
        <w:t xml:space="preserve"> до уровня </w:t>
      </w:r>
      <w:r w:rsidR="00190931" w:rsidRPr="0039378D">
        <w:t>13 617</w:t>
      </w:r>
      <w:r w:rsidRPr="0039378D">
        <w:t xml:space="preserve"> рублей, а</w:t>
      </w:r>
      <w:r w:rsidRPr="00190931">
        <w:t xml:space="preserve"> также рост ФОТ начисленной заработной платы всех работни</w:t>
      </w:r>
      <w:r w:rsidR="00C82101">
        <w:t>ков (федеральные структуры – 3,7</w:t>
      </w:r>
      <w:r w:rsidRPr="00190931">
        <w:t xml:space="preserve">%, региональные </w:t>
      </w:r>
      <w:r w:rsidR="00C82101">
        <w:t>– 4,0 %,</w:t>
      </w:r>
      <w:r w:rsidRPr="00190931">
        <w:t xml:space="preserve"> местные – 4,2%).</w:t>
      </w:r>
    </w:p>
    <w:p w:rsidR="00EF0553" w:rsidRPr="00190931" w:rsidRDefault="00EF0553" w:rsidP="00EF0553">
      <w:pPr>
        <w:ind w:firstLine="709"/>
        <w:jc w:val="both"/>
      </w:pPr>
      <w:r w:rsidRPr="00190931">
        <w:rPr>
          <w:bCs/>
        </w:rPr>
        <w:t xml:space="preserve">За основу расчета налоговой базы и вычетов взяты </w:t>
      </w:r>
      <w:r w:rsidRPr="00190931">
        <w:t>суммы соответствующих показателей из форм 7-НДФЛ за 20</w:t>
      </w:r>
      <w:r w:rsidR="00190931" w:rsidRPr="00190931">
        <w:t>20</w:t>
      </w:r>
      <w:r w:rsidRPr="00190931">
        <w:t xml:space="preserve"> год и истекший период 202</w:t>
      </w:r>
      <w:r w:rsidR="00190931" w:rsidRPr="00190931">
        <w:t>1</w:t>
      </w:r>
      <w:r w:rsidRPr="00190931">
        <w:t xml:space="preserve"> года, динамика основных показателей прогноза социально-экономического развития городского округа Кинешма, а также динамика поступлений в бюджет за период последних 5 лет.</w:t>
      </w:r>
    </w:p>
    <w:p w:rsidR="008B6C1B" w:rsidRPr="00A767CF" w:rsidRDefault="008B6C1B" w:rsidP="00EF0553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04"/>
        <w:gridCol w:w="1304"/>
        <w:gridCol w:w="1304"/>
        <w:gridCol w:w="1304"/>
        <w:gridCol w:w="1304"/>
      </w:tblGrid>
      <w:tr w:rsidR="00EF0553" w:rsidRPr="00A767CF" w:rsidTr="00033DDB">
        <w:tc>
          <w:tcPr>
            <w:tcW w:w="3227" w:type="dxa"/>
          </w:tcPr>
          <w:p w:rsidR="00EF0553" w:rsidRPr="00190931" w:rsidRDefault="00EF0553" w:rsidP="00EF0553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Показатель</w:t>
            </w:r>
          </w:p>
        </w:tc>
        <w:tc>
          <w:tcPr>
            <w:tcW w:w="1304" w:type="dxa"/>
          </w:tcPr>
          <w:p w:rsidR="00EF0553" w:rsidRPr="00190931" w:rsidRDefault="00EF0553" w:rsidP="00190931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20</w:t>
            </w:r>
            <w:r w:rsidR="00190931" w:rsidRPr="00190931">
              <w:rPr>
                <w:b/>
                <w:sz w:val="24"/>
              </w:rPr>
              <w:t>20</w:t>
            </w:r>
          </w:p>
        </w:tc>
        <w:tc>
          <w:tcPr>
            <w:tcW w:w="1304" w:type="dxa"/>
          </w:tcPr>
          <w:p w:rsidR="00EF0553" w:rsidRPr="00190931" w:rsidRDefault="00EF0553" w:rsidP="00190931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202</w:t>
            </w:r>
            <w:r w:rsidR="00190931" w:rsidRPr="00190931">
              <w:rPr>
                <w:b/>
                <w:sz w:val="24"/>
              </w:rPr>
              <w:t>1</w:t>
            </w:r>
          </w:p>
        </w:tc>
        <w:tc>
          <w:tcPr>
            <w:tcW w:w="1304" w:type="dxa"/>
          </w:tcPr>
          <w:p w:rsidR="00EF0553" w:rsidRPr="00190931" w:rsidRDefault="00EF0553" w:rsidP="00190931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202</w:t>
            </w:r>
            <w:r w:rsidR="00190931" w:rsidRPr="00190931">
              <w:rPr>
                <w:b/>
                <w:sz w:val="24"/>
              </w:rPr>
              <w:t>2</w:t>
            </w:r>
          </w:p>
        </w:tc>
        <w:tc>
          <w:tcPr>
            <w:tcW w:w="1304" w:type="dxa"/>
          </w:tcPr>
          <w:p w:rsidR="00EF0553" w:rsidRPr="00190931" w:rsidRDefault="00EF0553" w:rsidP="00190931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202</w:t>
            </w:r>
            <w:r w:rsidR="00190931" w:rsidRPr="00190931">
              <w:rPr>
                <w:b/>
                <w:sz w:val="24"/>
              </w:rPr>
              <w:t>3</w:t>
            </w:r>
          </w:p>
        </w:tc>
        <w:tc>
          <w:tcPr>
            <w:tcW w:w="1304" w:type="dxa"/>
          </w:tcPr>
          <w:p w:rsidR="00EF0553" w:rsidRPr="00190931" w:rsidRDefault="00EF0553" w:rsidP="00190931">
            <w:pPr>
              <w:spacing w:before="60" w:after="120"/>
              <w:jc w:val="center"/>
              <w:rPr>
                <w:b/>
                <w:sz w:val="24"/>
              </w:rPr>
            </w:pPr>
            <w:r w:rsidRPr="00190931">
              <w:rPr>
                <w:b/>
                <w:sz w:val="24"/>
              </w:rPr>
              <w:t>202</w:t>
            </w:r>
            <w:r w:rsidR="00190931" w:rsidRPr="00190931">
              <w:rPr>
                <w:b/>
                <w:sz w:val="24"/>
              </w:rPr>
              <w:t>4</w:t>
            </w:r>
          </w:p>
        </w:tc>
      </w:tr>
      <w:tr w:rsidR="00EF0553" w:rsidRPr="00A767CF" w:rsidTr="00033DDB">
        <w:tc>
          <w:tcPr>
            <w:tcW w:w="3227" w:type="dxa"/>
          </w:tcPr>
          <w:p w:rsidR="00EF0553" w:rsidRPr="0026728A" w:rsidRDefault="00EF0553" w:rsidP="00EF0553">
            <w:pPr>
              <w:spacing w:before="60" w:after="120"/>
            </w:pPr>
            <w:r w:rsidRPr="0026728A">
              <w:rPr>
                <w:sz w:val="24"/>
              </w:rPr>
              <w:t>Фонд начисленной заработной платы всех работников, млн. руб.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3B625E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7 866,1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3B625E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8 709,3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26728A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8 968,5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26728A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9 252,6</w:t>
            </w:r>
          </w:p>
        </w:tc>
        <w:tc>
          <w:tcPr>
            <w:tcW w:w="1304" w:type="dxa"/>
          </w:tcPr>
          <w:p w:rsidR="00EF0553" w:rsidRPr="0026728A" w:rsidRDefault="0026728A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9 428,7</w:t>
            </w:r>
          </w:p>
        </w:tc>
      </w:tr>
      <w:tr w:rsidR="00EF0553" w:rsidRPr="00A767CF" w:rsidTr="00033DDB">
        <w:tc>
          <w:tcPr>
            <w:tcW w:w="3227" w:type="dxa"/>
          </w:tcPr>
          <w:p w:rsidR="00EF0553" w:rsidRPr="0026728A" w:rsidRDefault="00EF0553" w:rsidP="00EF0553">
            <w:pPr>
              <w:spacing w:before="60" w:after="120"/>
              <w:rPr>
                <w:sz w:val="24"/>
              </w:rPr>
            </w:pPr>
            <w:r w:rsidRPr="0026728A">
              <w:rPr>
                <w:sz w:val="24"/>
              </w:rPr>
              <w:t>Коэффициент роста ФЗП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EF0553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EF0553" w:rsidP="00267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1,</w:t>
            </w:r>
            <w:r w:rsidR="0026728A">
              <w:rPr>
                <w:sz w:val="24"/>
                <w:szCs w:val="24"/>
              </w:rPr>
              <w:t>107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EF0553" w:rsidP="00267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26728A">
              <w:rPr>
                <w:sz w:val="24"/>
                <w:szCs w:val="24"/>
              </w:rPr>
              <w:t>1,0</w:t>
            </w:r>
            <w:r w:rsidR="0026728A">
              <w:rPr>
                <w:sz w:val="24"/>
                <w:szCs w:val="24"/>
              </w:rPr>
              <w:t>30</w:t>
            </w:r>
          </w:p>
        </w:tc>
        <w:tc>
          <w:tcPr>
            <w:tcW w:w="1304" w:type="dxa"/>
            <w:shd w:val="clear" w:color="auto" w:fill="auto"/>
          </w:tcPr>
          <w:p w:rsidR="00EF0553" w:rsidRPr="0026728A" w:rsidRDefault="0026728A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  <w:r w:rsidR="00EF0553" w:rsidRPr="0026728A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EF0553" w:rsidRPr="0026728A" w:rsidRDefault="0026728A" w:rsidP="0026728A">
            <w:pPr>
              <w:spacing w:before="6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1,019</w:t>
            </w:r>
          </w:p>
        </w:tc>
      </w:tr>
      <w:tr w:rsidR="00EF0553" w:rsidRPr="00600CC5" w:rsidTr="00033DDB">
        <w:tc>
          <w:tcPr>
            <w:tcW w:w="3227" w:type="dxa"/>
          </w:tcPr>
          <w:p w:rsidR="00EF0553" w:rsidRPr="00600CC5" w:rsidRDefault="00EF0553" w:rsidP="00EF0553">
            <w:pPr>
              <w:spacing w:before="60" w:after="120"/>
              <w:rPr>
                <w:sz w:val="24"/>
              </w:rPr>
            </w:pPr>
            <w:r w:rsidRPr="00600CC5">
              <w:rPr>
                <w:sz w:val="24"/>
              </w:rPr>
              <w:t>Численность трудовых ресурсов, тыс. чел.</w:t>
            </w:r>
          </w:p>
        </w:tc>
        <w:tc>
          <w:tcPr>
            <w:tcW w:w="1304" w:type="dxa"/>
            <w:shd w:val="clear" w:color="auto" w:fill="auto"/>
          </w:tcPr>
          <w:p w:rsidR="00EF0553" w:rsidRPr="00600CC5" w:rsidRDefault="00B9028A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42,6</w:t>
            </w:r>
          </w:p>
        </w:tc>
        <w:tc>
          <w:tcPr>
            <w:tcW w:w="1304" w:type="dxa"/>
            <w:shd w:val="clear" w:color="auto" w:fill="auto"/>
          </w:tcPr>
          <w:p w:rsidR="00EF0553" w:rsidRPr="00600CC5" w:rsidRDefault="00EF0553" w:rsidP="00B90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42,</w:t>
            </w:r>
            <w:r w:rsidR="00B9028A" w:rsidRPr="00600CC5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EF0553" w:rsidRPr="00600CC5" w:rsidRDefault="00EF0553" w:rsidP="00B90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41,</w:t>
            </w:r>
            <w:r w:rsidR="00B9028A" w:rsidRPr="00600CC5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EF0553" w:rsidRPr="00600CC5" w:rsidRDefault="00EF0553" w:rsidP="00B90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41,</w:t>
            </w:r>
            <w:r w:rsidR="00B9028A" w:rsidRPr="00600CC5">
              <w:rPr>
                <w:sz w:val="24"/>
                <w:szCs w:val="24"/>
              </w:rPr>
              <w:t>2</w:t>
            </w:r>
            <w:r w:rsidR="00600CC5" w:rsidRPr="00600CC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F0553" w:rsidRPr="00600CC5" w:rsidRDefault="00EF0553" w:rsidP="00600CC5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41,</w:t>
            </w:r>
            <w:r w:rsidR="00600CC5" w:rsidRPr="00600CC5">
              <w:rPr>
                <w:sz w:val="24"/>
                <w:szCs w:val="24"/>
              </w:rPr>
              <w:t>15</w:t>
            </w:r>
          </w:p>
        </w:tc>
      </w:tr>
      <w:tr w:rsidR="00EF0553" w:rsidRPr="00A767CF" w:rsidTr="00033DDB">
        <w:tc>
          <w:tcPr>
            <w:tcW w:w="3227" w:type="dxa"/>
          </w:tcPr>
          <w:p w:rsidR="00EF0553" w:rsidRPr="00600CC5" w:rsidRDefault="00EF0553" w:rsidP="00EF0553">
            <w:pPr>
              <w:spacing w:before="60" w:after="120"/>
              <w:rPr>
                <w:sz w:val="24"/>
              </w:rPr>
            </w:pPr>
            <w:r w:rsidRPr="00600CC5">
              <w:rPr>
                <w:sz w:val="24"/>
              </w:rPr>
              <w:t>Коэффициент увеличения численности</w:t>
            </w:r>
          </w:p>
        </w:tc>
        <w:tc>
          <w:tcPr>
            <w:tcW w:w="1304" w:type="dxa"/>
            <w:shd w:val="clear" w:color="auto" w:fill="auto"/>
          </w:tcPr>
          <w:p w:rsidR="00EF0553" w:rsidRPr="00600CC5" w:rsidRDefault="00EF0553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F0553" w:rsidRPr="00600CC5" w:rsidRDefault="00EF0553" w:rsidP="00B90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0,99</w:t>
            </w:r>
            <w:r w:rsidR="00B9028A" w:rsidRPr="00600CC5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F0553" w:rsidRPr="00600CC5" w:rsidRDefault="00EF0553" w:rsidP="00B9028A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0,9</w:t>
            </w:r>
            <w:r w:rsidR="00B9028A" w:rsidRPr="00600CC5">
              <w:rPr>
                <w:sz w:val="24"/>
                <w:szCs w:val="24"/>
              </w:rPr>
              <w:t>79</w:t>
            </w:r>
          </w:p>
        </w:tc>
        <w:tc>
          <w:tcPr>
            <w:tcW w:w="1304" w:type="dxa"/>
          </w:tcPr>
          <w:p w:rsidR="00EF0553" w:rsidRPr="00600CC5" w:rsidRDefault="00600CC5" w:rsidP="00EF0553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0,993</w:t>
            </w:r>
          </w:p>
        </w:tc>
        <w:tc>
          <w:tcPr>
            <w:tcW w:w="1304" w:type="dxa"/>
          </w:tcPr>
          <w:p w:rsidR="00EF0553" w:rsidRPr="00600CC5" w:rsidRDefault="00600CC5" w:rsidP="00600CC5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600CC5">
              <w:rPr>
                <w:sz w:val="24"/>
                <w:szCs w:val="24"/>
              </w:rPr>
              <w:t>0</w:t>
            </w:r>
            <w:r w:rsidR="00EF0553" w:rsidRPr="00600CC5">
              <w:rPr>
                <w:sz w:val="24"/>
                <w:szCs w:val="24"/>
              </w:rPr>
              <w:t>,</w:t>
            </w:r>
            <w:r w:rsidRPr="00600CC5">
              <w:rPr>
                <w:sz w:val="24"/>
                <w:szCs w:val="24"/>
              </w:rPr>
              <w:t>999</w:t>
            </w:r>
          </w:p>
        </w:tc>
      </w:tr>
    </w:tbl>
    <w:p w:rsidR="00053F1C" w:rsidRDefault="00053F1C" w:rsidP="00EF0553">
      <w:pPr>
        <w:ind w:firstLine="709"/>
        <w:jc w:val="both"/>
      </w:pPr>
    </w:p>
    <w:p w:rsidR="00EF0553" w:rsidRPr="000602CF" w:rsidRDefault="00EF0553" w:rsidP="00EF0553">
      <w:pPr>
        <w:ind w:firstLine="709"/>
        <w:jc w:val="both"/>
      </w:pPr>
      <w:r w:rsidRPr="000602CF">
        <w:t>- погашение недоимки в 202</w:t>
      </w:r>
      <w:r w:rsidR="000602CF" w:rsidRPr="000602CF">
        <w:t>2</w:t>
      </w:r>
      <w:r w:rsidRPr="000602CF">
        <w:t xml:space="preserve"> году не предусматривается. </w:t>
      </w:r>
    </w:p>
    <w:p w:rsidR="00EF0553" w:rsidRPr="00A767CF" w:rsidRDefault="00EF0553" w:rsidP="00EF0553">
      <w:pPr>
        <w:ind w:firstLine="709"/>
        <w:jc w:val="both"/>
        <w:rPr>
          <w:sz w:val="10"/>
          <w:szCs w:val="10"/>
          <w:highlight w:val="yellow"/>
        </w:rPr>
      </w:pPr>
    </w:p>
    <w:p w:rsidR="00EF0553" w:rsidRPr="000602CF" w:rsidRDefault="00EF0553" w:rsidP="00EF0553">
      <w:pPr>
        <w:ind w:firstLine="709"/>
        <w:jc w:val="both"/>
      </w:pPr>
      <w:r w:rsidRPr="000602CF">
        <w:t>Прогноз поступлений НДФЛ на очередной финансовый год и плановый период с учетом всех факторов составит:</w:t>
      </w:r>
    </w:p>
    <w:p w:rsidR="00EF0553" w:rsidRPr="000602CF" w:rsidRDefault="00EF0553" w:rsidP="00EF0553">
      <w:pPr>
        <w:jc w:val="both"/>
        <w:rPr>
          <w:b/>
        </w:rPr>
      </w:pPr>
      <w:r w:rsidRPr="000602CF">
        <w:rPr>
          <w:b/>
        </w:rPr>
        <w:t>202</w:t>
      </w:r>
      <w:r w:rsidR="000602CF" w:rsidRPr="000602CF">
        <w:rPr>
          <w:b/>
        </w:rPr>
        <w:t>2</w:t>
      </w:r>
      <w:r w:rsidRPr="000602CF">
        <w:rPr>
          <w:b/>
        </w:rPr>
        <w:t xml:space="preserve"> год 16</w:t>
      </w:r>
      <w:r w:rsidR="000602CF" w:rsidRPr="000602CF">
        <w:rPr>
          <w:b/>
        </w:rPr>
        <w:t>9</w:t>
      </w:r>
      <w:r w:rsidRPr="000602CF">
        <w:rPr>
          <w:b/>
        </w:rPr>
        <w:t> </w:t>
      </w:r>
      <w:r w:rsidR="000602CF" w:rsidRPr="000602CF">
        <w:rPr>
          <w:b/>
        </w:rPr>
        <w:t>9</w:t>
      </w:r>
      <w:r w:rsidRPr="000602CF">
        <w:rPr>
          <w:b/>
        </w:rPr>
        <w:t>5</w:t>
      </w:r>
      <w:r w:rsidR="000602CF" w:rsidRPr="000602CF">
        <w:rPr>
          <w:b/>
        </w:rPr>
        <w:t>0</w:t>
      </w:r>
      <w:r w:rsidRPr="000602CF">
        <w:rPr>
          <w:b/>
        </w:rPr>
        <w:t>,0 тыс. рублей;</w:t>
      </w:r>
    </w:p>
    <w:p w:rsidR="00EF0553" w:rsidRPr="000602CF" w:rsidRDefault="00EF0553" w:rsidP="00EF0553">
      <w:pPr>
        <w:jc w:val="both"/>
        <w:rPr>
          <w:b/>
        </w:rPr>
      </w:pPr>
      <w:r w:rsidRPr="000602CF">
        <w:rPr>
          <w:b/>
        </w:rPr>
        <w:t>202</w:t>
      </w:r>
      <w:r w:rsidR="000602CF" w:rsidRPr="000602CF">
        <w:rPr>
          <w:b/>
        </w:rPr>
        <w:t>3</w:t>
      </w:r>
      <w:r w:rsidRPr="000602CF">
        <w:rPr>
          <w:b/>
        </w:rPr>
        <w:t xml:space="preserve"> год </w:t>
      </w:r>
      <w:r w:rsidR="000602CF" w:rsidRPr="000602CF">
        <w:rPr>
          <w:b/>
        </w:rPr>
        <w:t>175 050</w:t>
      </w:r>
      <w:r w:rsidRPr="000602CF">
        <w:rPr>
          <w:b/>
        </w:rPr>
        <w:t>,0 тыс. рублей.</w:t>
      </w:r>
    </w:p>
    <w:p w:rsidR="00EF0553" w:rsidRPr="000602CF" w:rsidRDefault="00EF0553" w:rsidP="00EF0553">
      <w:pPr>
        <w:jc w:val="both"/>
      </w:pPr>
      <w:r w:rsidRPr="000602CF">
        <w:rPr>
          <w:b/>
        </w:rPr>
        <w:t>202</w:t>
      </w:r>
      <w:r w:rsidR="000602CF" w:rsidRPr="000602CF">
        <w:rPr>
          <w:b/>
        </w:rPr>
        <w:t>4</w:t>
      </w:r>
      <w:r w:rsidRPr="000602CF">
        <w:t xml:space="preserve"> </w:t>
      </w:r>
      <w:r w:rsidRPr="000602CF">
        <w:rPr>
          <w:b/>
        </w:rPr>
        <w:t xml:space="preserve">год </w:t>
      </w:r>
      <w:r w:rsidR="000602CF" w:rsidRPr="000602CF">
        <w:rPr>
          <w:b/>
        </w:rPr>
        <w:t>180 125</w:t>
      </w:r>
      <w:r w:rsidRPr="000602CF">
        <w:rPr>
          <w:b/>
        </w:rPr>
        <w:t>,0 тыс. рублей;</w:t>
      </w:r>
    </w:p>
    <w:p w:rsidR="00EF0553" w:rsidRPr="00A767CF" w:rsidRDefault="00EF0553" w:rsidP="00EF0553">
      <w:pPr>
        <w:ind w:firstLine="567"/>
        <w:jc w:val="both"/>
        <w:rPr>
          <w:bCs/>
          <w:sz w:val="10"/>
          <w:szCs w:val="10"/>
          <w:highlight w:val="yellow"/>
        </w:rPr>
      </w:pPr>
    </w:p>
    <w:p w:rsidR="00EF0553" w:rsidRPr="00A767CF" w:rsidRDefault="00EF0553" w:rsidP="00EF0553">
      <w:pPr>
        <w:autoSpaceDE w:val="0"/>
        <w:autoSpaceDN w:val="0"/>
        <w:adjustRightInd w:val="0"/>
        <w:ind w:firstLine="709"/>
        <w:rPr>
          <w:rFonts w:eastAsia="Calibri"/>
          <w:b/>
          <w:snapToGrid/>
          <w:highlight w:val="yellow"/>
        </w:rPr>
      </w:pPr>
    </w:p>
    <w:p w:rsidR="00EF0553" w:rsidRPr="000602CF" w:rsidRDefault="00EF0553" w:rsidP="00EF0553">
      <w:pPr>
        <w:autoSpaceDE w:val="0"/>
        <w:autoSpaceDN w:val="0"/>
        <w:adjustRightInd w:val="0"/>
        <w:jc w:val="center"/>
        <w:rPr>
          <w:rFonts w:eastAsia="Calibri"/>
          <w:b/>
          <w:snapToGrid/>
        </w:rPr>
      </w:pPr>
      <w:r w:rsidRPr="000602CF">
        <w:rPr>
          <w:rFonts w:eastAsia="Calibri"/>
          <w:b/>
          <w:snapToGrid/>
        </w:rPr>
        <w:lastRenderedPageBreak/>
        <w:t xml:space="preserve">Акцизы на автомобильный и прямогонный бензин, дизтопливо, моторные масла для дизельных и карбюраторных двигателей, </w:t>
      </w:r>
    </w:p>
    <w:p w:rsidR="00EF0553" w:rsidRDefault="00EF0553" w:rsidP="00EF0553">
      <w:pPr>
        <w:autoSpaceDE w:val="0"/>
        <w:autoSpaceDN w:val="0"/>
        <w:adjustRightInd w:val="0"/>
        <w:jc w:val="center"/>
        <w:rPr>
          <w:rFonts w:eastAsia="Calibri"/>
          <w:b/>
          <w:snapToGrid/>
        </w:rPr>
      </w:pPr>
      <w:r w:rsidRPr="000602CF">
        <w:rPr>
          <w:rFonts w:eastAsia="Calibri"/>
          <w:b/>
          <w:snapToGrid/>
        </w:rPr>
        <w:t>подлежащих зачислению в местный бюджет</w:t>
      </w:r>
    </w:p>
    <w:p w:rsidR="00EF0553" w:rsidRPr="000602CF" w:rsidRDefault="00EF0553" w:rsidP="00EF055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</w:rPr>
      </w:pPr>
      <w:r w:rsidRPr="000602CF">
        <w:rPr>
          <w:rFonts w:eastAsia="Calibri"/>
        </w:rPr>
        <w:t xml:space="preserve">На основании статьи 1.1. </w:t>
      </w:r>
      <w:proofErr w:type="gramStart"/>
      <w:r w:rsidRPr="000602CF">
        <w:rPr>
          <w:rFonts w:eastAsia="Calibri"/>
        </w:rPr>
        <w:t xml:space="preserve">Закона Ивановской области от 10.10.2005 №121-ОЗ </w:t>
      </w:r>
      <w:r w:rsidRPr="000602CF">
        <w:rPr>
          <w:rFonts w:eastAsia="Calibri"/>
          <w:snapToGrid/>
        </w:rPr>
        <w:t>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 с 01.01.2014 в бюджеты городских округов и муниципальных районов подлежат зачислению доходы от</w:t>
      </w:r>
      <w:proofErr w:type="gramEnd"/>
      <w:r w:rsidRPr="000602CF">
        <w:rPr>
          <w:rFonts w:eastAsia="Calibri"/>
          <w:snapToGrid/>
        </w:rPr>
        <w:t xml:space="preserve"> </w:t>
      </w:r>
      <w:proofErr w:type="gramStart"/>
      <w:r w:rsidRPr="000602CF">
        <w:rPr>
          <w:rFonts w:eastAsia="Calibri"/>
          <w:snapToGrid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602CF">
        <w:rPr>
          <w:rFonts w:eastAsia="Calibri"/>
          <w:snapToGrid/>
        </w:rPr>
        <w:t>инжекторных</w:t>
      </w:r>
      <w:proofErr w:type="spellEnd"/>
      <w:r w:rsidRPr="000602CF">
        <w:rPr>
          <w:rFonts w:eastAsia="Calibri"/>
          <w:snapToGrid/>
        </w:rPr>
        <w:t xml:space="preserve">) двигателей, производимые на территории Российской Федерации, по нормативу 10,0 процентов налоговых доходов консолидированного бюджета Ивановской области от указанного налога </w:t>
      </w:r>
      <w:r w:rsidRPr="000602CF">
        <w:rPr>
          <w:rFonts w:eastAsia="Calibri"/>
          <w:bCs/>
          <w:snapToGrid/>
        </w:rPr>
        <w:t>распределяются между бюджетами муниципальных образований Ивановской области по дифференцированным нормативам (Закон Ивановской области об областном бюджете на очередной финансовый год и плановый период).</w:t>
      </w:r>
      <w:proofErr w:type="gramEnd"/>
    </w:p>
    <w:p w:rsidR="00EF0553" w:rsidRPr="000602CF" w:rsidRDefault="00EF0553" w:rsidP="00EF055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</w:rPr>
      </w:pPr>
      <w:r w:rsidRPr="000602CF">
        <w:rPr>
          <w:rFonts w:eastAsia="Calibri"/>
          <w:snapToGrid/>
        </w:rPr>
        <w:t>Дифференцированный норматив отчислений в бюджет городского округа Кинешма на 202</w:t>
      </w:r>
      <w:r w:rsidR="000602CF" w:rsidRPr="000602CF">
        <w:rPr>
          <w:rFonts w:eastAsia="Calibri"/>
          <w:snapToGrid/>
        </w:rPr>
        <w:t xml:space="preserve">2 </w:t>
      </w:r>
      <w:r w:rsidRPr="000602CF">
        <w:rPr>
          <w:rFonts w:eastAsia="Calibri"/>
          <w:snapToGrid/>
        </w:rPr>
        <w:t>год планируется на уровне 0,3</w:t>
      </w:r>
      <w:r w:rsidR="000602CF" w:rsidRPr="000602CF">
        <w:rPr>
          <w:rFonts w:eastAsia="Calibri"/>
          <w:snapToGrid/>
        </w:rPr>
        <w:t>298</w:t>
      </w:r>
      <w:r w:rsidRPr="000602CF">
        <w:rPr>
          <w:rFonts w:eastAsia="Calibri"/>
          <w:snapToGrid/>
        </w:rPr>
        <w:t>.</w:t>
      </w:r>
    </w:p>
    <w:p w:rsidR="00EF0553" w:rsidRPr="000602CF" w:rsidRDefault="00EF0553" w:rsidP="00EF0553">
      <w:pPr>
        <w:ind w:firstLine="709"/>
        <w:jc w:val="both"/>
      </w:pPr>
      <w:r w:rsidRPr="000602CF">
        <w:t>Прогноз поступлений акцизов на очередной финансовый год и плановый период в соответствии с предварительным прогнозом главного администратора составит соответственно:</w:t>
      </w:r>
    </w:p>
    <w:p w:rsidR="00EF0553" w:rsidRPr="000602CF" w:rsidRDefault="00EF0553" w:rsidP="00EF0553">
      <w:pPr>
        <w:ind w:firstLine="709"/>
        <w:jc w:val="both"/>
        <w:rPr>
          <w:b/>
        </w:rPr>
      </w:pPr>
      <w:r w:rsidRPr="000602CF">
        <w:rPr>
          <w:b/>
        </w:rPr>
        <w:t>202</w:t>
      </w:r>
      <w:r w:rsidR="000602CF" w:rsidRPr="000602CF">
        <w:rPr>
          <w:b/>
        </w:rPr>
        <w:t>2</w:t>
      </w:r>
      <w:r w:rsidRPr="000602CF">
        <w:rPr>
          <w:b/>
        </w:rPr>
        <w:t xml:space="preserve"> год </w:t>
      </w:r>
      <w:r w:rsidR="00E24769">
        <w:rPr>
          <w:b/>
        </w:rPr>
        <w:t xml:space="preserve">- </w:t>
      </w:r>
      <w:r w:rsidRPr="000602CF">
        <w:rPr>
          <w:b/>
        </w:rPr>
        <w:t>8</w:t>
      </w:r>
      <w:r w:rsidR="000602CF" w:rsidRPr="000602CF">
        <w:rPr>
          <w:b/>
        </w:rPr>
        <w:t> 886,4</w:t>
      </w:r>
      <w:r w:rsidRPr="000602CF">
        <w:rPr>
          <w:b/>
        </w:rPr>
        <w:t xml:space="preserve"> тыс. рублей;</w:t>
      </w:r>
    </w:p>
    <w:p w:rsidR="00EF0553" w:rsidRPr="000602CF" w:rsidRDefault="000602CF" w:rsidP="00EF0553">
      <w:pPr>
        <w:ind w:firstLine="709"/>
        <w:jc w:val="both"/>
        <w:rPr>
          <w:b/>
        </w:rPr>
      </w:pPr>
      <w:r w:rsidRPr="000602CF">
        <w:rPr>
          <w:b/>
        </w:rPr>
        <w:t>2023</w:t>
      </w:r>
      <w:r w:rsidR="00EF0553" w:rsidRPr="000602CF">
        <w:rPr>
          <w:b/>
        </w:rPr>
        <w:t xml:space="preserve"> год </w:t>
      </w:r>
      <w:r w:rsidR="00E24769">
        <w:rPr>
          <w:b/>
        </w:rPr>
        <w:t xml:space="preserve">- </w:t>
      </w:r>
      <w:r w:rsidRPr="000602CF">
        <w:rPr>
          <w:b/>
        </w:rPr>
        <w:t>9</w:t>
      </w:r>
      <w:r w:rsidR="00EF0553" w:rsidRPr="000602CF">
        <w:rPr>
          <w:b/>
        </w:rPr>
        <w:t> </w:t>
      </w:r>
      <w:r w:rsidRPr="000602CF">
        <w:rPr>
          <w:b/>
        </w:rPr>
        <w:t>05</w:t>
      </w:r>
      <w:r w:rsidR="00EF0553" w:rsidRPr="000602CF">
        <w:rPr>
          <w:b/>
        </w:rPr>
        <w:t>7,</w:t>
      </w:r>
      <w:r w:rsidRPr="000602CF">
        <w:rPr>
          <w:b/>
        </w:rPr>
        <w:t>9</w:t>
      </w:r>
      <w:r w:rsidR="00EF0553" w:rsidRPr="000602CF">
        <w:rPr>
          <w:b/>
        </w:rPr>
        <w:t xml:space="preserve"> тыс. рублей;</w:t>
      </w:r>
    </w:p>
    <w:p w:rsidR="00EF0553" w:rsidRPr="000602CF" w:rsidRDefault="000602CF" w:rsidP="00EF0553">
      <w:pPr>
        <w:ind w:firstLine="709"/>
        <w:jc w:val="both"/>
        <w:rPr>
          <w:b/>
        </w:rPr>
      </w:pPr>
      <w:r w:rsidRPr="000602CF">
        <w:rPr>
          <w:b/>
        </w:rPr>
        <w:t>2024</w:t>
      </w:r>
      <w:r w:rsidR="00EF0553" w:rsidRPr="000602CF">
        <w:rPr>
          <w:b/>
        </w:rPr>
        <w:t xml:space="preserve"> год </w:t>
      </w:r>
      <w:r w:rsidR="00E24769">
        <w:rPr>
          <w:b/>
        </w:rPr>
        <w:t xml:space="preserve">- </w:t>
      </w:r>
      <w:r w:rsidR="00EF0553" w:rsidRPr="000602CF">
        <w:rPr>
          <w:b/>
        </w:rPr>
        <w:t>9 </w:t>
      </w:r>
      <w:r w:rsidRPr="000602CF">
        <w:rPr>
          <w:b/>
        </w:rPr>
        <w:t>23</w:t>
      </w:r>
      <w:r w:rsidR="00EF0553" w:rsidRPr="000602CF">
        <w:rPr>
          <w:b/>
        </w:rPr>
        <w:t>7,</w:t>
      </w:r>
      <w:r w:rsidRPr="000602CF">
        <w:rPr>
          <w:b/>
        </w:rPr>
        <w:t>5</w:t>
      </w:r>
      <w:r w:rsidR="00EF0553" w:rsidRPr="000602CF">
        <w:rPr>
          <w:b/>
        </w:rPr>
        <w:t xml:space="preserve"> тыс. рублей.</w:t>
      </w:r>
    </w:p>
    <w:p w:rsidR="00EF0553" w:rsidRPr="00A767CF" w:rsidRDefault="00EF0553" w:rsidP="00EF0553">
      <w:pPr>
        <w:jc w:val="center"/>
        <w:rPr>
          <w:b/>
          <w:highlight w:val="yellow"/>
        </w:rPr>
      </w:pPr>
    </w:p>
    <w:p w:rsidR="00EF0553" w:rsidRPr="009846C9" w:rsidRDefault="00EF0553" w:rsidP="00EF0553">
      <w:pPr>
        <w:jc w:val="center"/>
        <w:rPr>
          <w:b/>
        </w:rPr>
      </w:pPr>
      <w:r w:rsidRPr="009846C9">
        <w:rPr>
          <w:b/>
        </w:rPr>
        <w:t>Налоги на совокупный доход</w:t>
      </w:r>
    </w:p>
    <w:p w:rsidR="009846C9" w:rsidRPr="009846C9" w:rsidRDefault="009846C9" w:rsidP="00EF0553">
      <w:pPr>
        <w:jc w:val="center"/>
        <w:rPr>
          <w:b/>
        </w:rPr>
      </w:pPr>
    </w:p>
    <w:p w:rsidR="00EF0553" w:rsidRPr="00E24769" w:rsidRDefault="00EF0553" w:rsidP="00EF0553">
      <w:pPr>
        <w:ind w:firstLine="708"/>
        <w:jc w:val="both"/>
      </w:pPr>
      <w:r w:rsidRPr="009846C9">
        <w:t>Налоги на совокупный доход в структуре прогноза налоговых доходов в бюджете городского округа на 202</w:t>
      </w:r>
      <w:r w:rsidR="009846C9" w:rsidRPr="009846C9">
        <w:t>2</w:t>
      </w:r>
      <w:r w:rsidRPr="009846C9">
        <w:t xml:space="preserve"> </w:t>
      </w:r>
      <w:r w:rsidRPr="00E24769">
        <w:t>год составляют 9,</w:t>
      </w:r>
      <w:r w:rsidR="00E24769" w:rsidRPr="00E24769">
        <w:t>2</w:t>
      </w:r>
      <w:r w:rsidRPr="00E24769">
        <w:rPr>
          <w:b/>
        </w:rPr>
        <w:t>%</w:t>
      </w:r>
      <w:r w:rsidRPr="00E24769">
        <w:t xml:space="preserve">. </w:t>
      </w:r>
    </w:p>
    <w:p w:rsidR="00DD3981" w:rsidRPr="00DD3981" w:rsidRDefault="00DD3981" w:rsidP="00DD3981">
      <w:pPr>
        <w:tabs>
          <w:tab w:val="left" w:pos="567"/>
        </w:tabs>
        <w:ind w:firstLine="709"/>
        <w:jc w:val="both"/>
      </w:pPr>
      <w:r w:rsidRPr="00DD3981">
        <w:t xml:space="preserve">Прогноз поступлений </w:t>
      </w:r>
      <w:proofErr w:type="gramStart"/>
      <w:r w:rsidRPr="00CA0963">
        <w:rPr>
          <w:u w:val="single"/>
        </w:rPr>
        <w:t>налога, взимаемого в связи с применением упрощенной системы налогообложения</w:t>
      </w:r>
      <w:r w:rsidRPr="00DD3981">
        <w:t xml:space="preserve"> рассчитан</w:t>
      </w:r>
      <w:proofErr w:type="gramEnd"/>
      <w:r w:rsidRPr="00DD3981">
        <w:t>, исходя из размера дифференцированного норматива отчислений, установленного для городского округа Кинешма проектом Закона Ивановской области о бюджете на 2022-2024 годы, и согласован с главным администратором – МИФНС России №5 по Ивановской области.</w:t>
      </w:r>
    </w:p>
    <w:p w:rsidR="00DD3981" w:rsidRPr="00DD3981" w:rsidRDefault="00DD3981" w:rsidP="00DD3981">
      <w:pPr>
        <w:tabs>
          <w:tab w:val="left" w:pos="839"/>
        </w:tabs>
      </w:pPr>
      <w:r w:rsidRPr="00DD3981">
        <w:rPr>
          <w:b/>
        </w:rPr>
        <w:tab/>
      </w:r>
      <w:r w:rsidRPr="00DD3981">
        <w:t>Прогноз суммы поступлений составит соответственно:</w:t>
      </w:r>
    </w:p>
    <w:p w:rsidR="00DD3981" w:rsidRPr="00DD3981" w:rsidRDefault="00DD3981" w:rsidP="00DD3981">
      <w:pPr>
        <w:ind w:firstLine="708"/>
        <w:jc w:val="both"/>
        <w:rPr>
          <w:b/>
        </w:rPr>
      </w:pPr>
      <w:r w:rsidRPr="00DD3981">
        <w:rPr>
          <w:b/>
        </w:rPr>
        <w:t xml:space="preserve">на 2022 год – </w:t>
      </w:r>
      <w:r>
        <w:rPr>
          <w:b/>
        </w:rPr>
        <w:t>14 700,0</w:t>
      </w:r>
      <w:r w:rsidRPr="00DD3981">
        <w:rPr>
          <w:b/>
        </w:rPr>
        <w:t xml:space="preserve"> тыс. рублей;</w:t>
      </w:r>
    </w:p>
    <w:p w:rsidR="00DD3981" w:rsidRPr="00DD3981" w:rsidRDefault="00DD3981" w:rsidP="00DD3981">
      <w:pPr>
        <w:tabs>
          <w:tab w:val="left" w:pos="567"/>
        </w:tabs>
        <w:ind w:firstLine="709"/>
        <w:jc w:val="both"/>
        <w:rPr>
          <w:b/>
        </w:rPr>
      </w:pPr>
      <w:r w:rsidRPr="00DD3981">
        <w:rPr>
          <w:b/>
        </w:rPr>
        <w:t xml:space="preserve">на 2023 год – </w:t>
      </w:r>
      <w:r>
        <w:rPr>
          <w:b/>
        </w:rPr>
        <w:t>15 300,0</w:t>
      </w:r>
      <w:r w:rsidRPr="00DD3981">
        <w:rPr>
          <w:b/>
        </w:rPr>
        <w:t xml:space="preserve"> тыс. рублей;</w:t>
      </w:r>
    </w:p>
    <w:p w:rsidR="00DD3981" w:rsidRPr="00DD3981" w:rsidRDefault="00DD3981" w:rsidP="00DD3981">
      <w:pPr>
        <w:tabs>
          <w:tab w:val="left" w:pos="567"/>
        </w:tabs>
        <w:ind w:firstLine="709"/>
        <w:jc w:val="both"/>
        <w:rPr>
          <w:b/>
        </w:rPr>
      </w:pPr>
      <w:r w:rsidRPr="00DD3981">
        <w:rPr>
          <w:b/>
        </w:rPr>
        <w:t xml:space="preserve">на 2024 год – </w:t>
      </w:r>
      <w:r>
        <w:rPr>
          <w:b/>
        </w:rPr>
        <w:t>16 200,0</w:t>
      </w:r>
      <w:r w:rsidRPr="00DD3981">
        <w:rPr>
          <w:b/>
        </w:rPr>
        <w:t xml:space="preserve"> тыс. рублей. </w:t>
      </w:r>
    </w:p>
    <w:p w:rsidR="00EF0553" w:rsidRPr="009846C9" w:rsidRDefault="00EF0553" w:rsidP="00EF0553">
      <w:pPr>
        <w:ind w:firstLine="708"/>
        <w:jc w:val="both"/>
      </w:pPr>
      <w:r w:rsidRPr="009846C9">
        <w:t xml:space="preserve">Прогноз поступлений в бюджет городского округа </w:t>
      </w:r>
      <w:r w:rsidRPr="009846C9">
        <w:rPr>
          <w:u w:val="single"/>
        </w:rPr>
        <w:t>единого сельскохозяйственного налога</w:t>
      </w:r>
      <w:r w:rsidRPr="009846C9">
        <w:t xml:space="preserve"> с учетом </w:t>
      </w:r>
      <w:proofErr w:type="gramStart"/>
      <w:r w:rsidRPr="009846C9">
        <w:t>информации главного администратора доходов бюджета городского округа</w:t>
      </w:r>
      <w:proofErr w:type="gramEnd"/>
      <w:r w:rsidRPr="009846C9">
        <w:t xml:space="preserve"> Кинешма (МИФНС России № 5 по </w:t>
      </w:r>
      <w:r w:rsidRPr="009846C9">
        <w:lastRenderedPageBreak/>
        <w:t>Ивановской области) на очередной финансовый год и плановый период  202</w:t>
      </w:r>
      <w:r w:rsidR="009846C9">
        <w:t>3</w:t>
      </w:r>
      <w:r w:rsidRPr="009846C9">
        <w:t xml:space="preserve"> и 202</w:t>
      </w:r>
      <w:r w:rsidR="009846C9">
        <w:t>4</w:t>
      </w:r>
      <w:r w:rsidRPr="009846C9">
        <w:t xml:space="preserve"> годов составит:</w:t>
      </w:r>
    </w:p>
    <w:p w:rsidR="00EF0553" w:rsidRPr="009846C9" w:rsidRDefault="00EF0553" w:rsidP="00EF0553">
      <w:pPr>
        <w:ind w:firstLine="709"/>
        <w:jc w:val="both"/>
        <w:rPr>
          <w:b/>
        </w:rPr>
      </w:pPr>
      <w:r w:rsidRPr="009846C9">
        <w:rPr>
          <w:b/>
        </w:rPr>
        <w:t>202</w:t>
      </w:r>
      <w:r w:rsidR="009846C9" w:rsidRPr="009846C9">
        <w:rPr>
          <w:b/>
        </w:rPr>
        <w:t>2</w:t>
      </w:r>
      <w:r w:rsidRPr="009846C9">
        <w:rPr>
          <w:b/>
        </w:rPr>
        <w:t xml:space="preserve"> год</w:t>
      </w:r>
      <w:r w:rsidR="00E24769">
        <w:rPr>
          <w:b/>
        </w:rPr>
        <w:t xml:space="preserve"> -</w:t>
      </w:r>
      <w:r w:rsidRPr="009846C9">
        <w:rPr>
          <w:b/>
        </w:rPr>
        <w:t xml:space="preserve"> 5</w:t>
      </w:r>
      <w:r w:rsidR="009846C9" w:rsidRPr="009846C9">
        <w:rPr>
          <w:b/>
        </w:rPr>
        <w:t>4</w:t>
      </w:r>
      <w:r w:rsidRPr="009846C9">
        <w:rPr>
          <w:b/>
        </w:rPr>
        <w:t>,0 тыс. рублей;</w:t>
      </w:r>
    </w:p>
    <w:p w:rsidR="00EF0553" w:rsidRPr="009846C9" w:rsidRDefault="00EF0553" w:rsidP="00EF0553">
      <w:pPr>
        <w:ind w:firstLine="709"/>
        <w:jc w:val="both"/>
        <w:rPr>
          <w:b/>
        </w:rPr>
      </w:pPr>
      <w:r w:rsidRPr="009846C9">
        <w:rPr>
          <w:b/>
        </w:rPr>
        <w:t>202</w:t>
      </w:r>
      <w:r w:rsidR="009846C9" w:rsidRPr="009846C9">
        <w:rPr>
          <w:b/>
        </w:rPr>
        <w:t>3</w:t>
      </w:r>
      <w:r w:rsidRPr="009846C9">
        <w:rPr>
          <w:b/>
        </w:rPr>
        <w:t xml:space="preserve"> год</w:t>
      </w:r>
      <w:r w:rsidR="00E24769">
        <w:rPr>
          <w:b/>
        </w:rPr>
        <w:t xml:space="preserve"> -</w:t>
      </w:r>
      <w:r w:rsidRPr="009846C9">
        <w:rPr>
          <w:b/>
        </w:rPr>
        <w:t xml:space="preserve"> 5</w:t>
      </w:r>
      <w:r w:rsidR="009846C9" w:rsidRPr="009846C9">
        <w:rPr>
          <w:b/>
        </w:rPr>
        <w:t>4</w:t>
      </w:r>
      <w:r w:rsidRPr="009846C9">
        <w:rPr>
          <w:b/>
        </w:rPr>
        <w:t>,0 тыс. рублей.</w:t>
      </w:r>
    </w:p>
    <w:p w:rsidR="00EF0553" w:rsidRPr="009846C9" w:rsidRDefault="00EF0553" w:rsidP="00EF0553">
      <w:pPr>
        <w:ind w:firstLine="709"/>
        <w:jc w:val="both"/>
        <w:rPr>
          <w:b/>
        </w:rPr>
      </w:pPr>
      <w:r w:rsidRPr="009846C9">
        <w:rPr>
          <w:b/>
        </w:rPr>
        <w:t>202</w:t>
      </w:r>
      <w:r w:rsidR="009846C9" w:rsidRPr="009846C9">
        <w:rPr>
          <w:b/>
        </w:rPr>
        <w:t>4</w:t>
      </w:r>
      <w:r w:rsidRPr="009846C9">
        <w:rPr>
          <w:b/>
        </w:rPr>
        <w:t xml:space="preserve"> год</w:t>
      </w:r>
      <w:r w:rsidR="00E24769">
        <w:rPr>
          <w:b/>
        </w:rPr>
        <w:t xml:space="preserve"> -</w:t>
      </w:r>
      <w:r w:rsidRPr="009846C9">
        <w:rPr>
          <w:b/>
        </w:rPr>
        <w:t xml:space="preserve"> 5</w:t>
      </w:r>
      <w:r w:rsidR="009846C9" w:rsidRPr="009846C9">
        <w:rPr>
          <w:b/>
        </w:rPr>
        <w:t>4</w:t>
      </w:r>
      <w:r w:rsidRPr="009846C9">
        <w:rPr>
          <w:b/>
        </w:rPr>
        <w:t>,0 тыс. рублей;</w:t>
      </w:r>
    </w:p>
    <w:p w:rsidR="00EF0553" w:rsidRPr="009846C9" w:rsidRDefault="00EF0553" w:rsidP="00EF0553">
      <w:pPr>
        <w:ind w:firstLine="708"/>
        <w:jc w:val="both"/>
      </w:pPr>
      <w:r w:rsidRPr="009846C9">
        <w:t xml:space="preserve"> Прогноз суммы </w:t>
      </w:r>
      <w:r w:rsidRPr="009846C9">
        <w:rPr>
          <w:u w:val="single"/>
        </w:rPr>
        <w:t>налога, взимаемого в связи с применением патентной системы налогообложения</w:t>
      </w:r>
      <w:r w:rsidRPr="009846C9">
        <w:t>, составлен исходя из прогнозных данных, представленных главным администратором доходов бюджета городского округа Кинешма по данному доходному источнику - Межрайонная инспекция Федеральной налоговой службы № 5 по Ивановской области и составит:</w:t>
      </w:r>
    </w:p>
    <w:p w:rsidR="00EF0553" w:rsidRPr="009846C9" w:rsidRDefault="00EF0553" w:rsidP="00EF0553">
      <w:pPr>
        <w:ind w:firstLine="708"/>
        <w:jc w:val="both"/>
        <w:rPr>
          <w:b/>
        </w:rPr>
      </w:pPr>
      <w:r w:rsidRPr="009846C9">
        <w:rPr>
          <w:b/>
        </w:rPr>
        <w:t>на 202</w:t>
      </w:r>
      <w:r w:rsidR="009846C9">
        <w:rPr>
          <w:b/>
        </w:rPr>
        <w:t>2</w:t>
      </w:r>
      <w:r w:rsidRPr="009846C9">
        <w:rPr>
          <w:b/>
        </w:rPr>
        <w:t xml:space="preserve"> год – 1</w:t>
      </w:r>
      <w:r w:rsidR="00DD3981">
        <w:rPr>
          <w:b/>
        </w:rPr>
        <w:t>4</w:t>
      </w:r>
      <w:r w:rsidRPr="009846C9">
        <w:rPr>
          <w:b/>
        </w:rPr>
        <w:t> </w:t>
      </w:r>
      <w:r w:rsidR="00DD3981">
        <w:rPr>
          <w:b/>
        </w:rPr>
        <w:t>0</w:t>
      </w:r>
      <w:r w:rsidRPr="009846C9">
        <w:rPr>
          <w:b/>
        </w:rPr>
        <w:t>00,0 тыс. рублей;</w:t>
      </w:r>
    </w:p>
    <w:p w:rsidR="00EF0553" w:rsidRPr="009846C9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9846C9">
        <w:rPr>
          <w:b/>
        </w:rPr>
        <w:t>на 202</w:t>
      </w:r>
      <w:r w:rsidR="009846C9">
        <w:rPr>
          <w:b/>
        </w:rPr>
        <w:t>3</w:t>
      </w:r>
      <w:r w:rsidRPr="009846C9">
        <w:rPr>
          <w:b/>
        </w:rPr>
        <w:t xml:space="preserve"> год – 1</w:t>
      </w:r>
      <w:r w:rsidR="00DD3981">
        <w:rPr>
          <w:b/>
        </w:rPr>
        <w:t>5</w:t>
      </w:r>
      <w:r w:rsidRPr="009846C9">
        <w:rPr>
          <w:b/>
        </w:rPr>
        <w:t> 000,0 тыс. рублей;</w:t>
      </w:r>
    </w:p>
    <w:p w:rsidR="00EF0553" w:rsidRPr="009846C9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9846C9">
        <w:rPr>
          <w:b/>
        </w:rPr>
        <w:t>на 202</w:t>
      </w:r>
      <w:r w:rsidR="009846C9">
        <w:rPr>
          <w:b/>
        </w:rPr>
        <w:t>4</w:t>
      </w:r>
      <w:r w:rsidR="00DD3981">
        <w:rPr>
          <w:b/>
        </w:rPr>
        <w:t xml:space="preserve"> год – 16</w:t>
      </w:r>
      <w:r w:rsidRPr="009846C9">
        <w:rPr>
          <w:b/>
        </w:rPr>
        <w:t xml:space="preserve"> 000,0 тыс. рублей. </w:t>
      </w:r>
    </w:p>
    <w:p w:rsidR="00EF0553" w:rsidRPr="00A767CF" w:rsidRDefault="00EF0553" w:rsidP="00EF0553">
      <w:pPr>
        <w:tabs>
          <w:tab w:val="left" w:pos="567"/>
        </w:tabs>
        <w:ind w:firstLine="709"/>
        <w:jc w:val="both"/>
        <w:rPr>
          <w:b/>
          <w:highlight w:val="yellow"/>
        </w:rPr>
      </w:pPr>
    </w:p>
    <w:p w:rsidR="00EF0553" w:rsidRPr="00B955F1" w:rsidRDefault="00EF0553" w:rsidP="00EF0553">
      <w:pPr>
        <w:jc w:val="center"/>
        <w:rPr>
          <w:b/>
        </w:rPr>
      </w:pPr>
      <w:r w:rsidRPr="00B955F1">
        <w:rPr>
          <w:b/>
        </w:rPr>
        <w:t>Налог на имущество физических лиц</w:t>
      </w:r>
    </w:p>
    <w:p w:rsidR="00B955F1" w:rsidRPr="00B955F1" w:rsidRDefault="00B955F1" w:rsidP="00EF0553">
      <w:pPr>
        <w:jc w:val="center"/>
        <w:rPr>
          <w:b/>
        </w:rPr>
      </w:pPr>
    </w:p>
    <w:p w:rsidR="00EF0553" w:rsidRPr="00B955F1" w:rsidRDefault="00EF0553" w:rsidP="00B955F1">
      <w:pPr>
        <w:ind w:firstLine="709"/>
        <w:jc w:val="both"/>
      </w:pPr>
      <w:r w:rsidRPr="00B955F1">
        <w:t>Расчет прогноза поступлений доходов от налога на имущество физических лиц на 202</w:t>
      </w:r>
      <w:r w:rsidR="00B955F1" w:rsidRPr="00B955F1">
        <w:t>2</w:t>
      </w:r>
      <w:r w:rsidRPr="00B955F1">
        <w:t xml:space="preserve"> год и плановый период 202</w:t>
      </w:r>
      <w:r w:rsidR="00B955F1" w:rsidRPr="00B955F1">
        <w:t>3</w:t>
      </w:r>
      <w:r w:rsidRPr="00B955F1">
        <w:t xml:space="preserve"> и 202</w:t>
      </w:r>
      <w:r w:rsidR="00B955F1" w:rsidRPr="00B955F1">
        <w:t>4</w:t>
      </w:r>
      <w:r w:rsidRPr="00B955F1">
        <w:t xml:space="preserve"> годов произведен с учетом анализа данных формы статистической налоговой отчетности 5-МН за последние три налоговых периода, а также норм федерального налогового законодательства в области налогообложения граждан.</w:t>
      </w:r>
    </w:p>
    <w:p w:rsidR="00EF0553" w:rsidRPr="00B955F1" w:rsidRDefault="00EF0553" w:rsidP="00EF0553">
      <w:pPr>
        <w:ind w:firstLine="708"/>
        <w:jc w:val="both"/>
      </w:pPr>
      <w:r w:rsidRPr="00B955F1">
        <w:t>Прогноз поступлений в бюджет городского округа налога на имущество физических лиц на очередной финансовый год и плановый период составит:</w:t>
      </w:r>
    </w:p>
    <w:p w:rsidR="00EF0553" w:rsidRPr="00B955F1" w:rsidRDefault="00B955F1" w:rsidP="00EF0553">
      <w:pPr>
        <w:ind w:firstLine="708"/>
        <w:jc w:val="both"/>
        <w:rPr>
          <w:b/>
        </w:rPr>
      </w:pPr>
      <w:r w:rsidRPr="00B955F1">
        <w:rPr>
          <w:b/>
        </w:rPr>
        <w:t>2022</w:t>
      </w:r>
      <w:r w:rsidR="00EF0553" w:rsidRPr="00B955F1">
        <w:rPr>
          <w:b/>
        </w:rPr>
        <w:t xml:space="preserve"> год</w:t>
      </w:r>
      <w:r w:rsidR="00E24769">
        <w:rPr>
          <w:b/>
        </w:rPr>
        <w:t xml:space="preserve"> -</w:t>
      </w:r>
      <w:r w:rsidR="00EF0553" w:rsidRPr="00B955F1">
        <w:rPr>
          <w:b/>
        </w:rPr>
        <w:t xml:space="preserve"> 1</w:t>
      </w:r>
      <w:r w:rsidR="00885662">
        <w:rPr>
          <w:b/>
        </w:rPr>
        <w:t>4</w:t>
      </w:r>
      <w:r w:rsidR="00EF0553" w:rsidRPr="00B955F1">
        <w:rPr>
          <w:b/>
        </w:rPr>
        <w:t> 000,0 тыс. рублей;</w:t>
      </w:r>
    </w:p>
    <w:p w:rsidR="00EF0553" w:rsidRPr="00B955F1" w:rsidRDefault="00EF0553" w:rsidP="00EF0553">
      <w:pPr>
        <w:ind w:firstLine="708"/>
        <w:jc w:val="both"/>
        <w:rPr>
          <w:b/>
        </w:rPr>
      </w:pPr>
      <w:r w:rsidRPr="00B955F1">
        <w:rPr>
          <w:b/>
        </w:rPr>
        <w:t>202</w:t>
      </w:r>
      <w:r w:rsidR="00B955F1" w:rsidRPr="00B955F1">
        <w:rPr>
          <w:b/>
        </w:rPr>
        <w:t>3</w:t>
      </w:r>
      <w:r w:rsidRPr="00B955F1">
        <w:rPr>
          <w:b/>
        </w:rPr>
        <w:t xml:space="preserve"> год</w:t>
      </w:r>
      <w:r w:rsidR="00E24769">
        <w:rPr>
          <w:b/>
        </w:rPr>
        <w:t xml:space="preserve"> -</w:t>
      </w:r>
      <w:r w:rsidRPr="00B955F1">
        <w:t xml:space="preserve"> </w:t>
      </w:r>
      <w:r w:rsidRPr="00B955F1">
        <w:rPr>
          <w:b/>
        </w:rPr>
        <w:t>1</w:t>
      </w:r>
      <w:r w:rsidR="00885662">
        <w:rPr>
          <w:b/>
        </w:rPr>
        <w:t>4</w:t>
      </w:r>
      <w:r w:rsidRPr="00B955F1">
        <w:rPr>
          <w:b/>
        </w:rPr>
        <w:t> 000,0 тыс. рублей;</w:t>
      </w:r>
    </w:p>
    <w:p w:rsidR="00EF0553" w:rsidRPr="00B955F1" w:rsidRDefault="00B955F1" w:rsidP="00EF0553">
      <w:pPr>
        <w:ind w:firstLine="708"/>
        <w:jc w:val="both"/>
        <w:rPr>
          <w:b/>
        </w:rPr>
      </w:pPr>
      <w:r w:rsidRPr="00B955F1">
        <w:rPr>
          <w:b/>
        </w:rPr>
        <w:t>2024</w:t>
      </w:r>
      <w:r w:rsidR="00EF0553" w:rsidRPr="00B955F1">
        <w:rPr>
          <w:b/>
        </w:rPr>
        <w:t xml:space="preserve"> год</w:t>
      </w:r>
      <w:r w:rsidR="00E24769">
        <w:rPr>
          <w:b/>
        </w:rPr>
        <w:t xml:space="preserve"> -</w:t>
      </w:r>
      <w:r w:rsidR="00EF0553" w:rsidRPr="00B955F1">
        <w:t xml:space="preserve"> </w:t>
      </w:r>
      <w:r w:rsidR="00EF0553" w:rsidRPr="00B955F1">
        <w:rPr>
          <w:b/>
        </w:rPr>
        <w:t>1</w:t>
      </w:r>
      <w:r w:rsidR="00885662">
        <w:rPr>
          <w:b/>
        </w:rPr>
        <w:t>4</w:t>
      </w:r>
      <w:r w:rsidR="00EF0553" w:rsidRPr="00B955F1">
        <w:rPr>
          <w:b/>
        </w:rPr>
        <w:t xml:space="preserve"> 000,0 тыс. рублей.</w:t>
      </w:r>
    </w:p>
    <w:p w:rsidR="00EF0553" w:rsidRPr="00885662" w:rsidRDefault="00EF0553" w:rsidP="00EF0553">
      <w:pPr>
        <w:ind w:firstLine="708"/>
        <w:jc w:val="both"/>
      </w:pPr>
      <w:r w:rsidRPr="00885662">
        <w:t>Существуют некоторые риски неисполнения плановых показателей по причине роста количества льготников-пенсионеров, высокой смертности населения, низкой платежеспособности, а также сохранения тенденций суммарного роста объема льгот, предоставляемых гражданам на федеральном уровне.</w:t>
      </w:r>
    </w:p>
    <w:p w:rsidR="00EF0553" w:rsidRPr="00885662" w:rsidRDefault="00EF0553" w:rsidP="00EF0553">
      <w:pPr>
        <w:jc w:val="center"/>
        <w:rPr>
          <w:b/>
        </w:rPr>
      </w:pPr>
      <w:r w:rsidRPr="00885662">
        <w:rPr>
          <w:b/>
        </w:rPr>
        <w:t>Земельный налог</w:t>
      </w:r>
    </w:p>
    <w:p w:rsidR="00885662" w:rsidRPr="00885662" w:rsidRDefault="00885662" w:rsidP="00EF0553">
      <w:pPr>
        <w:jc w:val="center"/>
        <w:rPr>
          <w:b/>
        </w:rPr>
      </w:pPr>
    </w:p>
    <w:p w:rsidR="00EF0553" w:rsidRPr="00885662" w:rsidRDefault="00EF0553" w:rsidP="00EF0553">
      <w:pPr>
        <w:autoSpaceDE w:val="0"/>
        <w:autoSpaceDN w:val="0"/>
        <w:adjustRightInd w:val="0"/>
        <w:ind w:firstLine="708"/>
        <w:jc w:val="both"/>
      </w:pPr>
      <w:r w:rsidRPr="00885662">
        <w:t>Расчет прогноза поступлений доходов от земельного налога на 202</w:t>
      </w:r>
      <w:r w:rsidR="00885662" w:rsidRPr="00885662">
        <w:t>2</w:t>
      </w:r>
      <w:r w:rsidRPr="00885662">
        <w:t xml:space="preserve"> год и плановый период 202</w:t>
      </w:r>
      <w:r w:rsidR="00885662" w:rsidRPr="00885662">
        <w:t>3</w:t>
      </w:r>
      <w:r w:rsidRPr="00885662">
        <w:t xml:space="preserve"> и 202</w:t>
      </w:r>
      <w:r w:rsidR="00885662" w:rsidRPr="00885662">
        <w:t>4</w:t>
      </w:r>
      <w:r w:rsidRPr="00885662">
        <w:t xml:space="preserve"> годов произведен главным администратором – МИФНС России №5 по Ивановской области. Для прогнозирования проведен анализ формы статистической налоговой отчетности 5-МН за последние 3 </w:t>
      </w:r>
      <w:proofErr w:type="gramStart"/>
      <w:r w:rsidRPr="00885662">
        <w:t>налоговых</w:t>
      </w:r>
      <w:proofErr w:type="gramEnd"/>
      <w:r w:rsidRPr="00885662">
        <w:t xml:space="preserve"> периода. Прогноз составлен на основании сведений главного администратора (МИФНС России №5 по Ивановской области). </w:t>
      </w:r>
    </w:p>
    <w:p w:rsidR="00EF0553" w:rsidRPr="00885662" w:rsidRDefault="00EF0553" w:rsidP="00EF0553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885662">
        <w:rPr>
          <w:snapToGrid/>
          <w:u w:val="single"/>
        </w:rPr>
        <w:t>Земельный налог с организаций, обладающих земельным участком, расположенным в границах городских округов</w:t>
      </w:r>
      <w:r w:rsidRPr="00885662">
        <w:rPr>
          <w:u w:val="single"/>
        </w:rPr>
        <w:t>:</w:t>
      </w:r>
    </w:p>
    <w:p w:rsidR="00EF0553" w:rsidRPr="00A767CF" w:rsidRDefault="00EF0553" w:rsidP="00EF0553">
      <w:pPr>
        <w:jc w:val="center"/>
        <w:rPr>
          <w:sz w:val="10"/>
          <w:szCs w:val="10"/>
          <w:highlight w:val="yellow"/>
        </w:rPr>
      </w:pPr>
    </w:p>
    <w:p w:rsidR="00EF0553" w:rsidRPr="00885662" w:rsidRDefault="00EF0553" w:rsidP="00EF0553">
      <w:pPr>
        <w:tabs>
          <w:tab w:val="left" w:pos="567"/>
        </w:tabs>
        <w:jc w:val="both"/>
      </w:pPr>
      <w:r w:rsidRPr="00885662">
        <w:tab/>
        <w:t>Плановые суммы поступления земельного налога составят:</w:t>
      </w:r>
    </w:p>
    <w:p w:rsidR="00EF0553" w:rsidRPr="00885662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885662">
        <w:rPr>
          <w:b/>
        </w:rPr>
        <w:t>202</w:t>
      </w:r>
      <w:r w:rsidR="00885662" w:rsidRPr="00885662">
        <w:rPr>
          <w:b/>
        </w:rPr>
        <w:t>2</w:t>
      </w:r>
      <w:r w:rsidRPr="00885662">
        <w:rPr>
          <w:b/>
        </w:rPr>
        <w:t xml:space="preserve"> год</w:t>
      </w:r>
      <w:r w:rsidR="00E24769">
        <w:rPr>
          <w:b/>
        </w:rPr>
        <w:t xml:space="preserve"> -</w:t>
      </w:r>
      <w:r w:rsidRPr="00885662">
        <w:rPr>
          <w:b/>
        </w:rPr>
        <w:t xml:space="preserve"> </w:t>
      </w:r>
      <w:r w:rsidR="00885662" w:rsidRPr="00885662">
        <w:rPr>
          <w:b/>
        </w:rPr>
        <w:t>61</w:t>
      </w:r>
      <w:r w:rsidRPr="00885662">
        <w:rPr>
          <w:b/>
        </w:rPr>
        <w:t> 000,0 тыс. рублей</w:t>
      </w:r>
      <w:r w:rsidR="00C82101">
        <w:rPr>
          <w:b/>
        </w:rPr>
        <w:t>;</w:t>
      </w:r>
    </w:p>
    <w:p w:rsidR="00EF0553" w:rsidRPr="00885662" w:rsidRDefault="00EF0553" w:rsidP="00EF0553">
      <w:pPr>
        <w:ind w:firstLine="709"/>
        <w:jc w:val="both"/>
        <w:rPr>
          <w:b/>
        </w:rPr>
      </w:pPr>
      <w:r w:rsidRPr="00885662">
        <w:rPr>
          <w:b/>
        </w:rPr>
        <w:t>202</w:t>
      </w:r>
      <w:r w:rsidR="00885662" w:rsidRPr="00885662">
        <w:rPr>
          <w:b/>
        </w:rPr>
        <w:t>3 год</w:t>
      </w:r>
      <w:r w:rsidR="00E24769">
        <w:rPr>
          <w:b/>
        </w:rPr>
        <w:t xml:space="preserve"> -</w:t>
      </w:r>
      <w:r w:rsidR="00885662" w:rsidRPr="00885662">
        <w:rPr>
          <w:b/>
        </w:rPr>
        <w:t xml:space="preserve"> 62 0</w:t>
      </w:r>
      <w:r w:rsidR="00C82101">
        <w:rPr>
          <w:b/>
        </w:rPr>
        <w:t>00,0 тыс. рублей;</w:t>
      </w:r>
    </w:p>
    <w:p w:rsidR="00EF0553" w:rsidRPr="00885662" w:rsidRDefault="00EF0553" w:rsidP="00EF0553">
      <w:pPr>
        <w:autoSpaceDE w:val="0"/>
        <w:autoSpaceDN w:val="0"/>
        <w:adjustRightInd w:val="0"/>
        <w:ind w:firstLine="708"/>
        <w:jc w:val="both"/>
        <w:rPr>
          <w:b/>
        </w:rPr>
      </w:pPr>
      <w:r w:rsidRPr="00885662">
        <w:rPr>
          <w:b/>
        </w:rPr>
        <w:t>202</w:t>
      </w:r>
      <w:r w:rsidR="00885662" w:rsidRPr="00885662">
        <w:rPr>
          <w:b/>
        </w:rPr>
        <w:t>4</w:t>
      </w:r>
      <w:r w:rsidRPr="00885662">
        <w:rPr>
          <w:b/>
        </w:rPr>
        <w:t xml:space="preserve"> год</w:t>
      </w:r>
      <w:r w:rsidR="00E24769">
        <w:rPr>
          <w:b/>
        </w:rPr>
        <w:t xml:space="preserve"> -</w:t>
      </w:r>
      <w:r w:rsidRPr="00885662">
        <w:rPr>
          <w:b/>
        </w:rPr>
        <w:t xml:space="preserve"> </w:t>
      </w:r>
      <w:r w:rsidR="00885662" w:rsidRPr="00885662">
        <w:rPr>
          <w:b/>
        </w:rPr>
        <w:t>63</w:t>
      </w:r>
      <w:r w:rsidRPr="00885662">
        <w:rPr>
          <w:b/>
        </w:rPr>
        <w:t xml:space="preserve"> 000,0 тыс. рублей.</w:t>
      </w:r>
    </w:p>
    <w:p w:rsidR="00EF0553" w:rsidRPr="00E24769" w:rsidRDefault="00E24769" w:rsidP="00EF0553">
      <w:pPr>
        <w:autoSpaceDE w:val="0"/>
        <w:autoSpaceDN w:val="0"/>
        <w:adjustRightInd w:val="0"/>
        <w:ind w:firstLine="708"/>
        <w:jc w:val="both"/>
      </w:pPr>
      <w:r w:rsidRPr="00E24769">
        <w:lastRenderedPageBreak/>
        <w:t>В 2021 году проведена м</w:t>
      </w:r>
      <w:r w:rsidR="00EF0553" w:rsidRPr="00E24769">
        <w:t>ассовая переоценка земель населенных пунктов на уровне субъекта н</w:t>
      </w:r>
      <w:r w:rsidRPr="00E24769">
        <w:t xml:space="preserve">а территории Ивановской области, </w:t>
      </w:r>
      <w:r w:rsidR="00EF0553" w:rsidRPr="00E24769">
        <w:t>результаты переоценки для исчисления сумм налога будут применяться с 01.01.2022</w:t>
      </w:r>
      <w:r w:rsidRPr="00E24769">
        <w:t>.</w:t>
      </w:r>
      <w:r w:rsidR="00EF0553" w:rsidRPr="00E24769">
        <w:t xml:space="preserve"> </w:t>
      </w:r>
      <w:r w:rsidR="002503FC">
        <w:t>После утверждения окончательных результатов переоценки возможно проведение корректировки прогнозных показателей.</w:t>
      </w:r>
    </w:p>
    <w:p w:rsidR="00EF0553" w:rsidRPr="00DE49A0" w:rsidRDefault="00EF0553" w:rsidP="00EF0553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DE49A0">
        <w:rPr>
          <w:snapToGrid/>
          <w:u w:val="single"/>
        </w:rPr>
        <w:t>Земельный налог с физических лиц, обладающих земельным участком, расположенным в границах городских округов запланирован в суммах</w:t>
      </w:r>
      <w:r w:rsidRPr="00DE49A0">
        <w:rPr>
          <w:u w:val="single"/>
        </w:rPr>
        <w:t>:</w:t>
      </w:r>
    </w:p>
    <w:p w:rsidR="00EF0553" w:rsidRPr="00DE49A0" w:rsidRDefault="00EF0553" w:rsidP="00EF0553">
      <w:pPr>
        <w:ind w:firstLine="709"/>
        <w:jc w:val="both"/>
        <w:rPr>
          <w:b/>
        </w:rPr>
      </w:pPr>
      <w:r w:rsidRPr="00DE49A0">
        <w:rPr>
          <w:b/>
        </w:rPr>
        <w:t>202</w:t>
      </w:r>
      <w:r w:rsidR="00DE49A0" w:rsidRPr="00DE49A0">
        <w:rPr>
          <w:b/>
        </w:rPr>
        <w:t>2</w:t>
      </w:r>
      <w:r w:rsidRPr="00DE49A0">
        <w:rPr>
          <w:b/>
        </w:rPr>
        <w:t xml:space="preserve"> год</w:t>
      </w:r>
      <w:r w:rsidR="00C82101">
        <w:rPr>
          <w:b/>
        </w:rPr>
        <w:t xml:space="preserve"> -</w:t>
      </w:r>
      <w:r w:rsidRPr="00DE49A0">
        <w:rPr>
          <w:b/>
        </w:rPr>
        <w:t xml:space="preserve"> 1</w:t>
      </w:r>
      <w:r w:rsidR="00DE49A0" w:rsidRPr="00DE49A0">
        <w:rPr>
          <w:b/>
        </w:rPr>
        <w:t>7</w:t>
      </w:r>
      <w:r w:rsidRPr="00DE49A0">
        <w:rPr>
          <w:b/>
        </w:rPr>
        <w:t xml:space="preserve"> </w:t>
      </w:r>
      <w:r w:rsidR="00DE49A0" w:rsidRPr="00DE49A0">
        <w:rPr>
          <w:b/>
        </w:rPr>
        <w:t>0</w:t>
      </w:r>
      <w:r w:rsidRPr="00DE49A0">
        <w:rPr>
          <w:b/>
        </w:rPr>
        <w:t>00,0тыс. рублей;</w:t>
      </w:r>
    </w:p>
    <w:p w:rsidR="00EF0553" w:rsidRPr="00DE49A0" w:rsidRDefault="00EF0553" w:rsidP="00EF0553">
      <w:pPr>
        <w:ind w:firstLine="709"/>
        <w:jc w:val="both"/>
        <w:rPr>
          <w:b/>
        </w:rPr>
      </w:pPr>
      <w:r w:rsidRPr="00DE49A0">
        <w:rPr>
          <w:b/>
        </w:rPr>
        <w:t>202</w:t>
      </w:r>
      <w:r w:rsidR="00DE49A0" w:rsidRPr="00DE49A0">
        <w:rPr>
          <w:b/>
        </w:rPr>
        <w:t>3 год</w:t>
      </w:r>
      <w:r w:rsidR="00C82101">
        <w:rPr>
          <w:b/>
        </w:rPr>
        <w:t xml:space="preserve"> -</w:t>
      </w:r>
      <w:r w:rsidR="00DE49A0" w:rsidRPr="00DE49A0">
        <w:rPr>
          <w:b/>
        </w:rPr>
        <w:t xml:space="preserve"> 17 5</w:t>
      </w:r>
      <w:r w:rsidRPr="00DE49A0">
        <w:rPr>
          <w:b/>
        </w:rPr>
        <w:t>00,0 тыс. рублей;</w:t>
      </w:r>
    </w:p>
    <w:p w:rsidR="00EF0553" w:rsidRPr="00DE49A0" w:rsidRDefault="00EF0553" w:rsidP="00EF0553">
      <w:pPr>
        <w:ind w:firstLine="709"/>
        <w:jc w:val="both"/>
        <w:rPr>
          <w:b/>
        </w:rPr>
      </w:pPr>
      <w:r w:rsidRPr="00DE49A0">
        <w:rPr>
          <w:b/>
        </w:rPr>
        <w:t>202</w:t>
      </w:r>
      <w:r w:rsidR="00DE49A0" w:rsidRPr="00DE49A0">
        <w:rPr>
          <w:b/>
        </w:rPr>
        <w:t>4</w:t>
      </w:r>
      <w:r w:rsidRPr="00DE49A0">
        <w:rPr>
          <w:b/>
        </w:rPr>
        <w:t xml:space="preserve"> год</w:t>
      </w:r>
      <w:r w:rsidR="00C82101">
        <w:rPr>
          <w:b/>
        </w:rPr>
        <w:t xml:space="preserve"> -</w:t>
      </w:r>
      <w:r w:rsidRPr="00DE49A0">
        <w:rPr>
          <w:b/>
        </w:rPr>
        <w:t xml:space="preserve"> 17 500,0 тыс. рублей.</w:t>
      </w:r>
    </w:p>
    <w:p w:rsidR="002503FC" w:rsidRDefault="002503FC" w:rsidP="00EF0553">
      <w:pPr>
        <w:jc w:val="center"/>
        <w:rPr>
          <w:b/>
        </w:rPr>
      </w:pPr>
    </w:p>
    <w:p w:rsidR="00EF0553" w:rsidRPr="00FC6841" w:rsidRDefault="00EF0553" w:rsidP="00EF0553">
      <w:pPr>
        <w:jc w:val="center"/>
        <w:rPr>
          <w:b/>
        </w:rPr>
      </w:pPr>
      <w:r w:rsidRPr="00FC6841">
        <w:rPr>
          <w:b/>
        </w:rPr>
        <w:t>Государственная пошлина</w:t>
      </w:r>
    </w:p>
    <w:p w:rsidR="00FC6841" w:rsidRPr="00FC6841" w:rsidRDefault="00FC6841" w:rsidP="00EF0553">
      <w:pPr>
        <w:jc w:val="center"/>
        <w:rPr>
          <w:b/>
        </w:rPr>
      </w:pPr>
    </w:p>
    <w:p w:rsidR="00EF0553" w:rsidRPr="00FC6841" w:rsidRDefault="00EF0553" w:rsidP="00EF0553">
      <w:pPr>
        <w:spacing w:after="120"/>
        <w:ind w:firstLine="708"/>
        <w:jc w:val="both"/>
      </w:pPr>
      <w:proofErr w:type="gramStart"/>
      <w:r w:rsidRPr="00FC6841">
        <w:t>Прогноз суммы поступлений доходов от государственной пошлины на 202</w:t>
      </w:r>
      <w:r w:rsidR="00FC6841">
        <w:t>2</w:t>
      </w:r>
      <w:r w:rsidRPr="00FC6841">
        <w:t xml:space="preserve"> год и плановый период 202</w:t>
      </w:r>
      <w:r w:rsidR="00FC6841">
        <w:t>3</w:t>
      </w:r>
      <w:r w:rsidRPr="00FC6841">
        <w:t xml:space="preserve"> и 202</w:t>
      </w:r>
      <w:r w:rsidR="00FC6841">
        <w:t>4</w:t>
      </w:r>
      <w:r w:rsidRPr="00FC6841">
        <w:t xml:space="preserve"> годов составлен исходя из прогнозных данных, представленных главными администраторами доходов бюджета городского округа Кинешма по закрепленным доходным источникам, и с учетом динамики поступлений за последние три года.</w:t>
      </w:r>
      <w:proofErr w:type="gramEnd"/>
    </w:p>
    <w:p w:rsidR="00EF0553" w:rsidRPr="00A767CF" w:rsidRDefault="00EF0553" w:rsidP="00EF0553">
      <w:pPr>
        <w:jc w:val="center"/>
        <w:rPr>
          <w:sz w:val="20"/>
          <w:szCs w:val="20"/>
          <w:highlight w:val="yellow"/>
        </w:rPr>
      </w:pPr>
    </w:p>
    <w:p w:rsidR="00EF0553" w:rsidRPr="00FC6841" w:rsidRDefault="00EF0553" w:rsidP="00EF0553">
      <w:pPr>
        <w:jc w:val="center"/>
        <w:rPr>
          <w:b/>
        </w:rPr>
      </w:pPr>
      <w:r w:rsidRPr="00FC6841">
        <w:rPr>
          <w:b/>
        </w:rPr>
        <w:t xml:space="preserve">Прогноз поступлений государственной пошлины </w:t>
      </w:r>
    </w:p>
    <w:p w:rsidR="00EF0553" w:rsidRPr="00FC6841" w:rsidRDefault="00EF0553" w:rsidP="00EF0553">
      <w:pPr>
        <w:jc w:val="center"/>
        <w:rPr>
          <w:b/>
        </w:rPr>
      </w:pPr>
      <w:r w:rsidRPr="00FC6841">
        <w:rPr>
          <w:b/>
        </w:rPr>
        <w:t>в бюджет городского округа по годам</w:t>
      </w:r>
    </w:p>
    <w:p w:rsidR="00EF0553" w:rsidRPr="00FC6841" w:rsidRDefault="00EF0553" w:rsidP="00EF0553">
      <w:pPr>
        <w:jc w:val="right"/>
        <w:rPr>
          <w:sz w:val="18"/>
          <w:szCs w:val="18"/>
        </w:rPr>
      </w:pPr>
      <w:r w:rsidRPr="00FC6841">
        <w:rPr>
          <w:sz w:val="18"/>
          <w:szCs w:val="18"/>
        </w:rPr>
        <w:t>(тыс. руб.)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1559"/>
        <w:gridCol w:w="1418"/>
        <w:gridCol w:w="1432"/>
      </w:tblGrid>
      <w:tr w:rsidR="00EF0553" w:rsidRPr="00FC6841" w:rsidTr="00033DDB">
        <w:trPr>
          <w:jc w:val="center"/>
        </w:trPr>
        <w:tc>
          <w:tcPr>
            <w:tcW w:w="5544" w:type="dxa"/>
            <w:shd w:val="clear" w:color="auto" w:fill="auto"/>
          </w:tcPr>
          <w:p w:rsidR="00EF0553" w:rsidRPr="00FC6841" w:rsidRDefault="00EF0553" w:rsidP="00EF0553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202</w:t>
            </w:r>
            <w:r w:rsidR="00FC6841" w:rsidRPr="00FC6841">
              <w:rPr>
                <w:sz w:val="24"/>
                <w:szCs w:val="24"/>
              </w:rPr>
              <w:t>2</w:t>
            </w:r>
            <w:r w:rsidRPr="00FC6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202</w:t>
            </w:r>
            <w:r w:rsidR="00FC6841" w:rsidRPr="00FC6841">
              <w:rPr>
                <w:sz w:val="24"/>
                <w:szCs w:val="24"/>
              </w:rPr>
              <w:t>3</w:t>
            </w:r>
            <w:r w:rsidRPr="00FC6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202</w:t>
            </w:r>
            <w:r w:rsidR="00FC6841" w:rsidRPr="00FC6841">
              <w:rPr>
                <w:sz w:val="24"/>
                <w:szCs w:val="24"/>
              </w:rPr>
              <w:t>4</w:t>
            </w:r>
            <w:r w:rsidRPr="00FC6841">
              <w:rPr>
                <w:sz w:val="24"/>
                <w:szCs w:val="24"/>
              </w:rPr>
              <w:t xml:space="preserve"> год</w:t>
            </w:r>
          </w:p>
        </w:tc>
      </w:tr>
      <w:tr w:rsidR="00EF0553" w:rsidRPr="00FC6841" w:rsidTr="00033DDB">
        <w:trPr>
          <w:jc w:val="center"/>
        </w:trPr>
        <w:tc>
          <w:tcPr>
            <w:tcW w:w="5544" w:type="dxa"/>
            <w:shd w:val="clear" w:color="auto" w:fill="auto"/>
          </w:tcPr>
          <w:p w:rsidR="00EF0553" w:rsidRPr="00FC6841" w:rsidRDefault="00EF0553" w:rsidP="00EF0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841">
              <w:rPr>
                <w:snapToGrid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11 </w:t>
            </w:r>
            <w:r w:rsidR="00FC6841">
              <w:rPr>
                <w:sz w:val="24"/>
                <w:szCs w:val="24"/>
              </w:rPr>
              <w:t>5</w:t>
            </w:r>
            <w:r w:rsidRPr="00FC6841">
              <w:rPr>
                <w:sz w:val="24"/>
                <w:szCs w:val="24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1</w:t>
            </w:r>
            <w:r w:rsidR="00FC6841">
              <w:rPr>
                <w:sz w:val="24"/>
                <w:szCs w:val="24"/>
              </w:rPr>
              <w:t>2</w:t>
            </w:r>
            <w:r w:rsidRPr="00FC6841">
              <w:rPr>
                <w:sz w:val="24"/>
                <w:szCs w:val="24"/>
              </w:rPr>
              <w:t> </w:t>
            </w:r>
            <w:r w:rsidR="00FC6841">
              <w:rPr>
                <w:sz w:val="24"/>
                <w:szCs w:val="24"/>
              </w:rPr>
              <w:t>0</w:t>
            </w:r>
            <w:r w:rsidRPr="00FC6841">
              <w:rPr>
                <w:sz w:val="24"/>
                <w:szCs w:val="24"/>
              </w:rPr>
              <w:t>00,0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sz w:val="24"/>
                <w:szCs w:val="24"/>
              </w:rPr>
            </w:pPr>
            <w:r w:rsidRPr="00FC6841">
              <w:rPr>
                <w:sz w:val="24"/>
                <w:szCs w:val="24"/>
              </w:rPr>
              <w:t>12 </w:t>
            </w:r>
            <w:r w:rsidR="00FC6841">
              <w:rPr>
                <w:sz w:val="24"/>
                <w:szCs w:val="24"/>
              </w:rPr>
              <w:t>2</w:t>
            </w:r>
            <w:r w:rsidRPr="00FC6841">
              <w:rPr>
                <w:sz w:val="24"/>
                <w:szCs w:val="24"/>
              </w:rPr>
              <w:t>00,0</w:t>
            </w:r>
          </w:p>
        </w:tc>
      </w:tr>
      <w:tr w:rsidR="00EF0553" w:rsidRPr="00FC6841" w:rsidTr="00033DDB">
        <w:trPr>
          <w:jc w:val="center"/>
        </w:trPr>
        <w:tc>
          <w:tcPr>
            <w:tcW w:w="5544" w:type="dxa"/>
            <w:shd w:val="clear" w:color="auto" w:fill="auto"/>
          </w:tcPr>
          <w:p w:rsidR="00EF0553" w:rsidRPr="00FC6841" w:rsidRDefault="00EF0553" w:rsidP="00EF0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6841">
              <w:rPr>
                <w:snapToGrid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C6841" w:rsidRDefault="00FC6841" w:rsidP="00EF055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0553" w:rsidRPr="00FC684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0553" w:rsidRPr="00FC6841" w:rsidRDefault="00FC6841" w:rsidP="00EF055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0553" w:rsidRPr="00FC6841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F0553" w:rsidRPr="00FC6841" w:rsidRDefault="00FC6841" w:rsidP="00EF055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0553" w:rsidRPr="00FC6841">
              <w:rPr>
                <w:sz w:val="24"/>
                <w:szCs w:val="24"/>
              </w:rPr>
              <w:t>0,0</w:t>
            </w:r>
          </w:p>
        </w:tc>
      </w:tr>
      <w:tr w:rsidR="00EF0553" w:rsidRPr="00A767CF" w:rsidTr="00033DDB">
        <w:trPr>
          <w:jc w:val="center"/>
        </w:trPr>
        <w:tc>
          <w:tcPr>
            <w:tcW w:w="5544" w:type="dxa"/>
            <w:shd w:val="clear" w:color="auto" w:fill="auto"/>
          </w:tcPr>
          <w:p w:rsidR="00EF0553" w:rsidRPr="00FC6841" w:rsidRDefault="00EF0553" w:rsidP="00FC684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FC68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FC6841">
              <w:rPr>
                <w:b/>
                <w:sz w:val="24"/>
                <w:szCs w:val="24"/>
              </w:rPr>
              <w:t>11 </w:t>
            </w:r>
            <w:r w:rsidR="00FC6841">
              <w:rPr>
                <w:b/>
                <w:sz w:val="24"/>
                <w:szCs w:val="24"/>
              </w:rPr>
              <w:t>53</w:t>
            </w:r>
            <w:r w:rsidRPr="00FC684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FC6841">
              <w:rPr>
                <w:b/>
                <w:sz w:val="24"/>
                <w:szCs w:val="24"/>
              </w:rPr>
              <w:t>1</w:t>
            </w:r>
            <w:r w:rsidR="00FC6841">
              <w:rPr>
                <w:b/>
                <w:sz w:val="24"/>
                <w:szCs w:val="24"/>
              </w:rPr>
              <w:t>2 03</w:t>
            </w:r>
            <w:r w:rsidRPr="00FC684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F0553" w:rsidRPr="00FC6841" w:rsidRDefault="00EF0553" w:rsidP="00FC684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FC6841">
              <w:rPr>
                <w:b/>
                <w:sz w:val="24"/>
                <w:szCs w:val="24"/>
              </w:rPr>
              <w:t xml:space="preserve">12 </w:t>
            </w:r>
            <w:r w:rsidR="00FC6841">
              <w:rPr>
                <w:b/>
                <w:sz w:val="24"/>
                <w:szCs w:val="24"/>
              </w:rPr>
              <w:t>23</w:t>
            </w:r>
            <w:r w:rsidRPr="00FC6841">
              <w:rPr>
                <w:b/>
                <w:sz w:val="24"/>
                <w:szCs w:val="24"/>
              </w:rPr>
              <w:t>0,0</w:t>
            </w:r>
          </w:p>
        </w:tc>
      </w:tr>
    </w:tbl>
    <w:p w:rsidR="00947132" w:rsidRPr="00A767CF" w:rsidRDefault="00947132" w:rsidP="00FC6841">
      <w:pPr>
        <w:jc w:val="center"/>
        <w:rPr>
          <w:b/>
          <w:highlight w:val="yellow"/>
        </w:rPr>
      </w:pPr>
    </w:p>
    <w:p w:rsidR="00EF0553" w:rsidRDefault="002503FC" w:rsidP="000C5FE8">
      <w:pPr>
        <w:spacing w:line="276" w:lineRule="auto"/>
        <w:jc w:val="center"/>
        <w:rPr>
          <w:b/>
        </w:rPr>
      </w:pPr>
      <w:r>
        <w:rPr>
          <w:b/>
        </w:rPr>
        <w:t>Неналог</w:t>
      </w:r>
      <w:r w:rsidR="00EF0553" w:rsidRPr="00FC6841">
        <w:rPr>
          <w:b/>
        </w:rPr>
        <w:t>овые доходы</w:t>
      </w:r>
    </w:p>
    <w:p w:rsidR="00EF0553" w:rsidRDefault="00EF0553" w:rsidP="000C5FE8">
      <w:pPr>
        <w:ind w:firstLine="708"/>
        <w:jc w:val="both"/>
      </w:pPr>
      <w:r w:rsidRPr="00FC6841">
        <w:t>Структура неналоговых доходов на 202</w:t>
      </w:r>
      <w:r w:rsidR="00FC6841">
        <w:t>2</w:t>
      </w:r>
      <w:r w:rsidRPr="00FC6841">
        <w:t>-202</w:t>
      </w:r>
      <w:r w:rsidR="00FC6841">
        <w:t>4</w:t>
      </w:r>
      <w:r w:rsidRPr="00FC6841">
        <w:t xml:space="preserve"> годы и </w:t>
      </w:r>
      <w:r w:rsidR="002503FC">
        <w:t>план на</w:t>
      </w:r>
      <w:r w:rsidRPr="00FC6841">
        <w:t xml:space="preserve"> 202</w:t>
      </w:r>
      <w:r w:rsidR="00FC6841">
        <w:t>1</w:t>
      </w:r>
      <w:r w:rsidRPr="00FC6841">
        <w:t xml:space="preserve"> год представлены в нижеприведенной таблице:</w:t>
      </w:r>
    </w:p>
    <w:p w:rsidR="00FC6841" w:rsidRPr="00FC6841" w:rsidRDefault="00725645" w:rsidP="00725645">
      <w:pPr>
        <w:jc w:val="right"/>
      </w:pPr>
      <w:r w:rsidRPr="00FC6841">
        <w:rPr>
          <w:sz w:val="18"/>
          <w:szCs w:val="18"/>
        </w:rPr>
        <w:t>(тыс. руб.)</w:t>
      </w:r>
    </w:p>
    <w:tbl>
      <w:tblPr>
        <w:tblW w:w="10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93"/>
        <w:gridCol w:w="1034"/>
        <w:gridCol w:w="1079"/>
        <w:gridCol w:w="925"/>
        <w:gridCol w:w="1079"/>
        <w:gridCol w:w="751"/>
        <w:gridCol w:w="1017"/>
        <w:gridCol w:w="689"/>
      </w:tblGrid>
      <w:tr w:rsidR="00EF0553" w:rsidRPr="00FC6841" w:rsidTr="00033DDB">
        <w:tc>
          <w:tcPr>
            <w:tcW w:w="2808" w:type="dxa"/>
            <w:vMerge w:val="restart"/>
            <w:shd w:val="clear" w:color="auto" w:fill="auto"/>
            <w:vAlign w:val="center"/>
          </w:tcPr>
          <w:p w:rsidR="00EF0553" w:rsidRPr="00FC6841" w:rsidRDefault="00EF0553" w:rsidP="00FC6841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 xml:space="preserve">Наименование </w:t>
            </w:r>
          </w:p>
          <w:p w:rsidR="00EF0553" w:rsidRPr="00FC6841" w:rsidRDefault="00EF0553" w:rsidP="00FC6841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>кода поступлений</w:t>
            </w:r>
          </w:p>
          <w:p w:rsidR="00EF0553" w:rsidRPr="00FC6841" w:rsidRDefault="00EF0553" w:rsidP="00FC6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EF0553" w:rsidRPr="00FC6841" w:rsidRDefault="00EF0553" w:rsidP="00FC6841">
            <w:pPr>
              <w:jc w:val="center"/>
              <w:rPr>
                <w:b/>
                <w:sz w:val="20"/>
                <w:szCs w:val="20"/>
              </w:rPr>
            </w:pPr>
            <w:r w:rsidRPr="00FC6841">
              <w:rPr>
                <w:b/>
                <w:sz w:val="20"/>
                <w:szCs w:val="20"/>
              </w:rPr>
              <w:t>202</w:t>
            </w:r>
            <w:r w:rsidR="00FC6841" w:rsidRPr="00FC6841">
              <w:rPr>
                <w:b/>
                <w:sz w:val="20"/>
                <w:szCs w:val="20"/>
              </w:rPr>
              <w:t>1</w:t>
            </w:r>
            <w:r w:rsidRPr="00FC6841">
              <w:rPr>
                <w:b/>
                <w:sz w:val="20"/>
                <w:szCs w:val="20"/>
              </w:rPr>
              <w:t xml:space="preserve"> год </w:t>
            </w:r>
          </w:p>
          <w:p w:rsidR="00EF0553" w:rsidRPr="00FC6841" w:rsidRDefault="00EF0553" w:rsidP="002503FC">
            <w:pPr>
              <w:jc w:val="center"/>
              <w:rPr>
                <w:b/>
                <w:sz w:val="20"/>
                <w:szCs w:val="20"/>
              </w:rPr>
            </w:pPr>
            <w:r w:rsidRPr="00FC6841">
              <w:rPr>
                <w:b/>
                <w:sz w:val="20"/>
                <w:szCs w:val="20"/>
              </w:rPr>
              <w:t>(</w:t>
            </w:r>
            <w:r w:rsidR="002503FC">
              <w:rPr>
                <w:b/>
                <w:sz w:val="20"/>
                <w:szCs w:val="20"/>
              </w:rPr>
              <w:t>план на 01.10.2021</w:t>
            </w:r>
            <w:r w:rsidRPr="00FC684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EF0553" w:rsidRPr="00FC6841" w:rsidRDefault="00FC6841" w:rsidP="00FC6841">
            <w:pPr>
              <w:jc w:val="center"/>
              <w:rPr>
                <w:b/>
                <w:sz w:val="20"/>
                <w:szCs w:val="20"/>
              </w:rPr>
            </w:pPr>
            <w:r w:rsidRPr="00FC6841">
              <w:rPr>
                <w:b/>
                <w:sz w:val="20"/>
                <w:szCs w:val="20"/>
              </w:rPr>
              <w:t>2022</w:t>
            </w:r>
            <w:r w:rsidR="00EF0553" w:rsidRPr="00FC684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EF0553" w:rsidRPr="00FC6841" w:rsidRDefault="00EF0553" w:rsidP="00FC6841">
            <w:pPr>
              <w:jc w:val="center"/>
              <w:rPr>
                <w:b/>
                <w:sz w:val="20"/>
                <w:szCs w:val="20"/>
              </w:rPr>
            </w:pPr>
            <w:r w:rsidRPr="00FC6841">
              <w:rPr>
                <w:b/>
                <w:sz w:val="20"/>
                <w:szCs w:val="20"/>
              </w:rPr>
              <w:t>202</w:t>
            </w:r>
            <w:r w:rsidR="00FC6841" w:rsidRPr="00FC6841">
              <w:rPr>
                <w:b/>
                <w:sz w:val="20"/>
                <w:szCs w:val="20"/>
              </w:rPr>
              <w:t>3</w:t>
            </w:r>
            <w:r w:rsidRPr="00FC684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EF0553" w:rsidRPr="00FC6841" w:rsidRDefault="00EF0553" w:rsidP="00FC6841">
            <w:pPr>
              <w:jc w:val="center"/>
              <w:rPr>
                <w:b/>
                <w:sz w:val="20"/>
                <w:szCs w:val="20"/>
              </w:rPr>
            </w:pPr>
            <w:r w:rsidRPr="00FC6841">
              <w:rPr>
                <w:b/>
                <w:sz w:val="20"/>
                <w:szCs w:val="20"/>
              </w:rPr>
              <w:t>202</w:t>
            </w:r>
            <w:r w:rsidR="00FC6841" w:rsidRPr="00FC6841">
              <w:rPr>
                <w:b/>
                <w:sz w:val="20"/>
                <w:szCs w:val="20"/>
              </w:rPr>
              <w:t>4</w:t>
            </w:r>
            <w:r w:rsidRPr="00FC684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F0553" w:rsidRPr="000C5FE8" w:rsidTr="000C5FE8">
        <w:trPr>
          <w:cantSplit/>
          <w:trHeight w:val="1543"/>
        </w:trPr>
        <w:tc>
          <w:tcPr>
            <w:tcW w:w="2808" w:type="dxa"/>
            <w:vMerge/>
            <w:shd w:val="clear" w:color="auto" w:fill="auto"/>
          </w:tcPr>
          <w:p w:rsidR="00EF0553" w:rsidRPr="00FC6841" w:rsidRDefault="00EF0553" w:rsidP="00EF055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0553" w:rsidRPr="00FC684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1034" w:type="dxa"/>
            <w:shd w:val="clear" w:color="auto" w:fill="auto"/>
            <w:textDirection w:val="btLr"/>
            <w:vAlign w:val="center"/>
          </w:tcPr>
          <w:p w:rsid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в % к общей сумме </w:t>
            </w:r>
            <w:proofErr w:type="gramStart"/>
            <w:r w:rsidRPr="00FC6841">
              <w:rPr>
                <w:b/>
                <w:snapToGrid/>
                <w:sz w:val="16"/>
                <w:szCs w:val="16"/>
              </w:rPr>
              <w:t>неналоговых</w:t>
            </w:r>
            <w:proofErr w:type="gramEnd"/>
          </w:p>
          <w:p w:rsidR="00EF0553" w:rsidRPr="00FC684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 доходов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F0553" w:rsidRPr="00FC684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925" w:type="dxa"/>
            <w:shd w:val="clear" w:color="auto" w:fill="auto"/>
            <w:textDirection w:val="btLr"/>
            <w:vAlign w:val="center"/>
          </w:tcPr>
          <w:p w:rsid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в % к общей сумме </w:t>
            </w:r>
            <w:proofErr w:type="gramStart"/>
            <w:r w:rsidRPr="00FC6841">
              <w:rPr>
                <w:b/>
                <w:snapToGrid/>
                <w:sz w:val="16"/>
                <w:szCs w:val="16"/>
              </w:rPr>
              <w:t>неналоговых</w:t>
            </w:r>
            <w:proofErr w:type="gramEnd"/>
          </w:p>
          <w:p w:rsidR="00EF0553" w:rsidRPr="00FC684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 доходов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F0553" w:rsidRPr="00FC684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751" w:type="dxa"/>
            <w:shd w:val="clear" w:color="auto" w:fill="auto"/>
            <w:textDirection w:val="btLr"/>
            <w:vAlign w:val="center"/>
          </w:tcPr>
          <w:p w:rsid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в % к общей сумме </w:t>
            </w:r>
            <w:proofErr w:type="gramStart"/>
            <w:r w:rsidRPr="00FC6841">
              <w:rPr>
                <w:b/>
                <w:snapToGrid/>
                <w:sz w:val="16"/>
                <w:szCs w:val="16"/>
              </w:rPr>
              <w:t>неналоговых</w:t>
            </w:r>
            <w:proofErr w:type="gramEnd"/>
          </w:p>
          <w:p w:rsidR="00EF0553" w:rsidRPr="00FC6841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FC6841">
              <w:rPr>
                <w:b/>
                <w:snapToGrid/>
                <w:sz w:val="16"/>
                <w:szCs w:val="16"/>
              </w:rPr>
              <w:t xml:space="preserve"> доходов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F0553" w:rsidRPr="00FC6841" w:rsidRDefault="00EF0553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FC6841">
              <w:rPr>
                <w:b/>
                <w:snapToGrid/>
                <w:sz w:val="20"/>
                <w:szCs w:val="20"/>
              </w:rPr>
              <w:t>тыс. руб.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0C5FE8" w:rsidRP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0C5FE8">
              <w:rPr>
                <w:b/>
                <w:snapToGrid/>
                <w:sz w:val="16"/>
                <w:szCs w:val="16"/>
              </w:rPr>
              <w:t xml:space="preserve">в % к общей сумме </w:t>
            </w:r>
            <w:proofErr w:type="gramStart"/>
            <w:r w:rsidRPr="000C5FE8">
              <w:rPr>
                <w:b/>
                <w:snapToGrid/>
                <w:sz w:val="16"/>
                <w:szCs w:val="16"/>
              </w:rPr>
              <w:t>неналоговых</w:t>
            </w:r>
            <w:proofErr w:type="gramEnd"/>
          </w:p>
          <w:p w:rsidR="00EF0553" w:rsidRPr="000C5FE8" w:rsidRDefault="00EF0553" w:rsidP="00EF0553">
            <w:pPr>
              <w:keepNext/>
              <w:ind w:right="113"/>
              <w:jc w:val="center"/>
              <w:outlineLvl w:val="7"/>
              <w:rPr>
                <w:b/>
                <w:snapToGrid/>
                <w:sz w:val="16"/>
                <w:szCs w:val="16"/>
              </w:rPr>
            </w:pPr>
            <w:r w:rsidRPr="000C5FE8">
              <w:rPr>
                <w:b/>
                <w:snapToGrid/>
                <w:sz w:val="16"/>
                <w:szCs w:val="16"/>
              </w:rPr>
              <w:t xml:space="preserve"> доходов</w:t>
            </w:r>
          </w:p>
        </w:tc>
      </w:tr>
      <w:tr w:rsidR="00FC6841" w:rsidRPr="00FC6841" w:rsidTr="00FC6841">
        <w:trPr>
          <w:cantSplit/>
          <w:trHeight w:val="228"/>
        </w:trPr>
        <w:tc>
          <w:tcPr>
            <w:tcW w:w="2808" w:type="dxa"/>
            <w:shd w:val="clear" w:color="auto" w:fill="auto"/>
          </w:tcPr>
          <w:p w:rsidR="00FC6841" w:rsidRPr="00FC6841" w:rsidRDefault="00FC6841" w:rsidP="00FC6841">
            <w:pPr>
              <w:jc w:val="center"/>
              <w:rPr>
                <w:sz w:val="20"/>
                <w:szCs w:val="20"/>
              </w:rPr>
            </w:pPr>
            <w:r w:rsidRPr="00FC684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C6841" w:rsidRPr="00FC6841" w:rsidRDefault="00FC6841" w:rsidP="00FC6841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FC6841">
              <w:rPr>
                <w:snapToGrid/>
                <w:sz w:val="20"/>
                <w:szCs w:val="20"/>
              </w:rPr>
              <w:t>9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both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lastRenderedPageBreak/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41 731,0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45,8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74D82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3</w:t>
            </w:r>
            <w:r>
              <w:rPr>
                <w:snapToGrid/>
                <w:sz w:val="20"/>
                <w:szCs w:val="20"/>
              </w:rPr>
              <w:t>5</w:t>
            </w:r>
            <w:r w:rsidRPr="000F7354">
              <w:rPr>
                <w:snapToGrid/>
                <w:sz w:val="20"/>
                <w:szCs w:val="20"/>
              </w:rPr>
              <w:t> </w:t>
            </w:r>
            <w:r>
              <w:rPr>
                <w:snapToGrid/>
                <w:sz w:val="20"/>
                <w:szCs w:val="20"/>
              </w:rPr>
              <w:t>4</w:t>
            </w:r>
            <w:r w:rsidRPr="000F7354">
              <w:rPr>
                <w:snapToGrid/>
                <w:sz w:val="20"/>
                <w:szCs w:val="20"/>
              </w:rPr>
              <w:t>27,9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74D82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5</w:t>
            </w:r>
            <w:r>
              <w:rPr>
                <w:snapToGrid/>
                <w:sz w:val="20"/>
                <w:szCs w:val="20"/>
              </w:rPr>
              <w:t>4</w:t>
            </w:r>
            <w:r w:rsidRPr="00965203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30 738,6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965203" w:rsidRDefault="000C5FE8" w:rsidP="0096520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61,5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28 300,7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58,9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both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967,0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1,0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1 305,2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2,0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1 357,4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2,7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1 411,6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2,9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both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Доходы от оказания платных услуг и компенсации затрат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5</w:t>
            </w:r>
            <w:r>
              <w:rPr>
                <w:snapToGrid/>
                <w:sz w:val="20"/>
                <w:szCs w:val="20"/>
              </w:rPr>
              <w:t> 807,5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6</w:t>
            </w:r>
            <w:r w:rsidRPr="000D4D7A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3 008,9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74D82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4,</w:t>
            </w:r>
            <w:r>
              <w:rPr>
                <w:snapToGrid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3 165,2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jc w:val="center"/>
              <w:rPr>
                <w:sz w:val="20"/>
                <w:szCs w:val="20"/>
              </w:rPr>
            </w:pPr>
            <w:r w:rsidRPr="00C96861">
              <w:rPr>
                <w:sz w:val="20"/>
                <w:szCs w:val="20"/>
              </w:rPr>
              <w:t>6,3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3 165,2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6,6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both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35 226,8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38</w:t>
            </w:r>
            <w:r w:rsidRPr="000D4D7A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0F7354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20 000,0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74D82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30,9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9 566,4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19,1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9 920,4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20,6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both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1 </w:t>
            </w:r>
            <w:r>
              <w:rPr>
                <w:snapToGrid/>
                <w:sz w:val="20"/>
                <w:szCs w:val="20"/>
              </w:rPr>
              <w:t>080</w:t>
            </w:r>
            <w:r w:rsidRPr="000D4D7A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1,2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424,9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0,6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414,9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0,8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404,8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0,8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rPr>
                <w:sz w:val="20"/>
                <w:szCs w:val="20"/>
              </w:rPr>
            </w:pPr>
            <w:r w:rsidRPr="000D4D7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D4D7A">
              <w:rPr>
                <w:snapToGrid/>
                <w:sz w:val="20"/>
                <w:szCs w:val="20"/>
              </w:rPr>
              <w:t>6 </w:t>
            </w:r>
            <w:r>
              <w:rPr>
                <w:snapToGrid/>
                <w:sz w:val="20"/>
                <w:szCs w:val="20"/>
              </w:rPr>
              <w:t>265</w:t>
            </w:r>
            <w:r w:rsidRPr="000D4D7A">
              <w:rPr>
                <w:snapToGrid/>
                <w:sz w:val="20"/>
                <w:szCs w:val="20"/>
              </w:rPr>
              <w:t>,</w:t>
            </w:r>
            <w:r>
              <w:rPr>
                <w:snapToGrid/>
                <w:sz w:val="20"/>
                <w:szCs w:val="20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6,9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4 641,8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74D82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7,</w:t>
            </w:r>
            <w:r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0F7354">
              <w:rPr>
                <w:snapToGrid/>
                <w:sz w:val="20"/>
                <w:szCs w:val="20"/>
              </w:rPr>
              <w:t>4 769,8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9,6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965203">
              <w:rPr>
                <w:snapToGrid/>
                <w:sz w:val="20"/>
                <w:szCs w:val="20"/>
              </w:rPr>
              <w:t>4 883,9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snapToGrid/>
                <w:sz w:val="20"/>
                <w:szCs w:val="20"/>
              </w:rPr>
            </w:pPr>
            <w:r w:rsidRPr="00C96861">
              <w:rPr>
                <w:snapToGrid/>
                <w:sz w:val="20"/>
                <w:szCs w:val="20"/>
              </w:rPr>
              <w:t>10,2</w:t>
            </w:r>
          </w:p>
        </w:tc>
      </w:tr>
      <w:tr w:rsidR="000C5FE8" w:rsidRPr="00A767CF" w:rsidTr="00033DDB">
        <w:tc>
          <w:tcPr>
            <w:tcW w:w="2808" w:type="dxa"/>
            <w:shd w:val="clear" w:color="auto" w:fill="auto"/>
          </w:tcPr>
          <w:p w:rsidR="000C5FE8" w:rsidRPr="000D4D7A" w:rsidRDefault="000C5FE8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0D4D7A">
              <w:rPr>
                <w:b/>
                <w:snapToGrid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>
              <w:rPr>
                <w:b/>
                <w:snapToGrid/>
                <w:sz w:val="20"/>
                <w:szCs w:val="20"/>
              </w:rPr>
              <w:t>91 077,8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C5FE8" w:rsidRPr="000D4D7A" w:rsidRDefault="000C5FE8" w:rsidP="00F86EE6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0D4D7A">
              <w:rPr>
                <w:b/>
                <w:snapToGrid/>
                <w:sz w:val="20"/>
                <w:szCs w:val="20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E74D82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0F7354">
              <w:rPr>
                <w:b/>
                <w:snapToGrid/>
                <w:sz w:val="20"/>
                <w:szCs w:val="20"/>
              </w:rPr>
              <w:t>6</w:t>
            </w:r>
            <w:r>
              <w:rPr>
                <w:b/>
                <w:snapToGrid/>
                <w:sz w:val="20"/>
                <w:szCs w:val="20"/>
              </w:rPr>
              <w:t>4</w:t>
            </w:r>
            <w:r w:rsidRPr="000F7354">
              <w:rPr>
                <w:b/>
                <w:snapToGrid/>
                <w:sz w:val="20"/>
                <w:szCs w:val="20"/>
              </w:rPr>
              <w:t> </w:t>
            </w:r>
            <w:r>
              <w:rPr>
                <w:b/>
                <w:snapToGrid/>
                <w:sz w:val="20"/>
                <w:szCs w:val="20"/>
              </w:rPr>
              <w:t>8</w:t>
            </w:r>
            <w:r w:rsidRPr="000F7354">
              <w:rPr>
                <w:b/>
                <w:snapToGrid/>
                <w:sz w:val="20"/>
                <w:szCs w:val="20"/>
              </w:rPr>
              <w:t>08,7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965203">
              <w:rPr>
                <w:b/>
                <w:snapToGrid/>
                <w:sz w:val="20"/>
                <w:szCs w:val="20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C5FE8" w:rsidRPr="000F7354" w:rsidRDefault="000C5FE8" w:rsidP="000F7354">
            <w:pPr>
              <w:jc w:val="center"/>
              <w:rPr>
                <w:b/>
                <w:sz w:val="20"/>
                <w:szCs w:val="20"/>
              </w:rPr>
            </w:pPr>
            <w:r w:rsidRPr="000F7354">
              <w:rPr>
                <w:b/>
                <w:sz w:val="20"/>
                <w:szCs w:val="20"/>
              </w:rPr>
              <w:t>50 012,3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C5FE8" w:rsidRPr="00C96861" w:rsidRDefault="000C5FE8" w:rsidP="00EF0553">
            <w:pPr>
              <w:jc w:val="center"/>
              <w:rPr>
                <w:b/>
                <w:sz w:val="20"/>
                <w:szCs w:val="20"/>
              </w:rPr>
            </w:pPr>
            <w:r w:rsidRPr="00C9686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C5FE8" w:rsidRPr="00965203" w:rsidRDefault="000C5FE8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965203">
              <w:rPr>
                <w:b/>
                <w:snapToGrid/>
                <w:sz w:val="20"/>
                <w:szCs w:val="20"/>
              </w:rPr>
              <w:t>48 086,6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C5FE8" w:rsidRPr="00C96861" w:rsidRDefault="000C5FE8" w:rsidP="00EF0553">
            <w:pPr>
              <w:keepNext/>
              <w:jc w:val="center"/>
              <w:outlineLvl w:val="7"/>
              <w:rPr>
                <w:b/>
                <w:snapToGrid/>
                <w:sz w:val="20"/>
                <w:szCs w:val="20"/>
              </w:rPr>
            </w:pPr>
            <w:r w:rsidRPr="00C96861">
              <w:rPr>
                <w:b/>
                <w:snapToGrid/>
                <w:sz w:val="20"/>
                <w:szCs w:val="20"/>
              </w:rPr>
              <w:t>100,0</w:t>
            </w:r>
          </w:p>
        </w:tc>
      </w:tr>
    </w:tbl>
    <w:p w:rsidR="00EF0553" w:rsidRPr="00A767CF" w:rsidRDefault="00EF0553" w:rsidP="00EF0553">
      <w:pPr>
        <w:spacing w:after="120"/>
        <w:jc w:val="center"/>
        <w:rPr>
          <w:b/>
          <w:highlight w:val="yellow"/>
        </w:rPr>
      </w:pPr>
    </w:p>
    <w:p w:rsidR="00EF0553" w:rsidRPr="00061448" w:rsidRDefault="00EF0553" w:rsidP="00061448">
      <w:pPr>
        <w:jc w:val="center"/>
        <w:rPr>
          <w:b/>
        </w:rPr>
      </w:pPr>
      <w:r w:rsidRPr="00061448"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061448" w:rsidRPr="00A767CF" w:rsidRDefault="00061448" w:rsidP="00061448">
      <w:pPr>
        <w:jc w:val="center"/>
        <w:rPr>
          <w:b/>
          <w:highlight w:val="yellow"/>
        </w:rPr>
      </w:pPr>
    </w:p>
    <w:p w:rsidR="00EF0553" w:rsidRPr="00A767CF" w:rsidRDefault="00EF0553" w:rsidP="00EF0553">
      <w:pPr>
        <w:ind w:firstLine="708"/>
        <w:jc w:val="both"/>
        <w:rPr>
          <w:b/>
          <w:highlight w:val="yellow"/>
        </w:rPr>
      </w:pPr>
      <w:r w:rsidRPr="00061448">
        <w:t>Доходы от использования</w:t>
      </w:r>
      <w:r w:rsidRPr="00061448">
        <w:rPr>
          <w:i/>
        </w:rPr>
        <w:t xml:space="preserve"> </w:t>
      </w:r>
      <w:r w:rsidRPr="00061448">
        <w:t>имущества, находящегося в государственной и муниципальной собственности</w:t>
      </w:r>
      <w:r w:rsidRPr="00061448">
        <w:rPr>
          <w:i/>
        </w:rPr>
        <w:t xml:space="preserve">, </w:t>
      </w:r>
      <w:r w:rsidRPr="00061448">
        <w:t>запланированы на 202</w:t>
      </w:r>
      <w:r w:rsidR="00061448" w:rsidRPr="00061448">
        <w:t>2</w:t>
      </w:r>
      <w:r w:rsidRPr="00061448">
        <w:t xml:space="preserve"> год в сумме</w:t>
      </w:r>
      <w:r w:rsidR="001502BE">
        <w:t xml:space="preserve"> </w:t>
      </w:r>
      <w:r w:rsidRPr="001502BE">
        <w:t>3</w:t>
      </w:r>
      <w:r w:rsidR="00E74D82">
        <w:t>5</w:t>
      </w:r>
      <w:r w:rsidRPr="001502BE">
        <w:t> </w:t>
      </w:r>
      <w:r w:rsidR="00E74D82">
        <w:t>4</w:t>
      </w:r>
      <w:r w:rsidR="001502BE" w:rsidRPr="001502BE">
        <w:t>27</w:t>
      </w:r>
      <w:r w:rsidRPr="001502BE">
        <w:t>,</w:t>
      </w:r>
      <w:r w:rsidR="001502BE" w:rsidRPr="001502BE">
        <w:t>9</w:t>
      </w:r>
      <w:r w:rsidRPr="001502BE">
        <w:t xml:space="preserve"> тыс. руб. и составляют </w:t>
      </w:r>
      <w:r w:rsidR="001502BE" w:rsidRPr="001502BE">
        <w:t>5</w:t>
      </w:r>
      <w:r w:rsidR="00E74D82">
        <w:t>4</w:t>
      </w:r>
      <w:r w:rsidR="001502BE" w:rsidRPr="001502BE">
        <w:t>,</w:t>
      </w:r>
      <w:r w:rsidR="00E74D82">
        <w:t>7</w:t>
      </w:r>
      <w:r w:rsidRPr="001502BE">
        <w:t>% от общего объема неналоговых доходов.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В соответствии с бюджетным законодательством Российской Федерации прогноз поступлений указанных доходов подготовлен по данным главных администраторов доходов бюджета городского округа.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Доходы от использования имущества запланированы с учетом снижения поступлений</w:t>
      </w:r>
      <w:r w:rsidR="002503FC">
        <w:t xml:space="preserve"> в плановом периоде</w:t>
      </w:r>
      <w:r w:rsidRPr="00061448">
        <w:t>, так как в городском округе происходит активная продажа объектов муниципальной собственности, и, как следствие, происходит сокращение поступлений от ее использования.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По данным главного администратора доходов – комитет имущественных и земельных отношений администрации городского округа Кинешма прогноз поступлений доходов, получаемых в виде арендной платы за земельные участки, государственная собственность на которые не разграничена, составит:</w:t>
      </w:r>
    </w:p>
    <w:p w:rsidR="00EF0553" w:rsidRPr="00061448" w:rsidRDefault="00EF0553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2</w:t>
      </w:r>
      <w:r w:rsidRPr="00061448">
        <w:rPr>
          <w:b/>
        </w:rPr>
        <w:t xml:space="preserve"> год – </w:t>
      </w:r>
      <w:r w:rsidR="00061448" w:rsidRPr="00061448">
        <w:rPr>
          <w:b/>
        </w:rPr>
        <w:t>23 722,4</w:t>
      </w:r>
      <w:r w:rsidRPr="00061448">
        <w:rPr>
          <w:b/>
        </w:rPr>
        <w:t xml:space="preserve"> тыс. рублей;</w:t>
      </w:r>
    </w:p>
    <w:p w:rsidR="00EF0553" w:rsidRPr="00061448" w:rsidRDefault="00061448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2023</w:t>
      </w:r>
      <w:r w:rsidR="00EF0553" w:rsidRPr="00061448">
        <w:rPr>
          <w:b/>
        </w:rPr>
        <w:t xml:space="preserve"> год – </w:t>
      </w:r>
      <w:r w:rsidRPr="00061448">
        <w:rPr>
          <w:b/>
        </w:rPr>
        <w:t>21 281,2</w:t>
      </w:r>
      <w:r w:rsidR="00EF0553"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4</w:t>
      </w:r>
      <w:r w:rsidRPr="00061448">
        <w:rPr>
          <w:b/>
        </w:rPr>
        <w:t xml:space="preserve"> год – </w:t>
      </w:r>
      <w:r w:rsidR="00061448" w:rsidRPr="00061448">
        <w:rPr>
          <w:b/>
        </w:rPr>
        <w:t>18 839,9</w:t>
      </w:r>
      <w:r w:rsidRPr="00061448">
        <w:rPr>
          <w:b/>
        </w:rPr>
        <w:t xml:space="preserve"> тыс. рублей.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- прогноз поступления доходов от сдачи в аренду имущества по данным Комитета имущественных и земельных отношений составит:</w:t>
      </w:r>
    </w:p>
    <w:p w:rsidR="00EF0553" w:rsidRPr="00061448" w:rsidRDefault="00EF0553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2</w:t>
      </w:r>
      <w:r w:rsidRPr="00061448">
        <w:rPr>
          <w:b/>
        </w:rPr>
        <w:t xml:space="preserve"> год – 1</w:t>
      </w:r>
      <w:r w:rsidR="00061448" w:rsidRPr="00061448">
        <w:rPr>
          <w:b/>
        </w:rPr>
        <w:t> 317,5</w:t>
      </w:r>
      <w:r w:rsidRPr="00061448">
        <w:rPr>
          <w:b/>
        </w:rPr>
        <w:t xml:space="preserve"> тыс. рублей;</w:t>
      </w:r>
    </w:p>
    <w:p w:rsidR="00EF0553" w:rsidRPr="00061448" w:rsidRDefault="00061448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2023</w:t>
      </w:r>
      <w:r w:rsidR="00EF0553" w:rsidRPr="00061448">
        <w:rPr>
          <w:b/>
        </w:rPr>
        <w:t xml:space="preserve"> год – 1</w:t>
      </w:r>
      <w:r w:rsidRPr="00061448">
        <w:rPr>
          <w:b/>
        </w:rPr>
        <w:t> 324,9</w:t>
      </w:r>
      <w:r w:rsidR="00EF0553" w:rsidRPr="00061448">
        <w:rPr>
          <w:b/>
        </w:rPr>
        <w:t xml:space="preserve"> тыс. рублей;</w:t>
      </w:r>
    </w:p>
    <w:p w:rsidR="00EF0553" w:rsidRPr="00061448" w:rsidRDefault="00061448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2024</w:t>
      </w:r>
      <w:r w:rsidR="00EF0553" w:rsidRPr="00061448">
        <w:rPr>
          <w:b/>
        </w:rPr>
        <w:t xml:space="preserve"> год – </w:t>
      </w:r>
      <w:r w:rsidRPr="00061448">
        <w:rPr>
          <w:b/>
        </w:rPr>
        <w:t>1 332,3</w:t>
      </w:r>
      <w:r w:rsidR="00EF0553" w:rsidRPr="00061448">
        <w:rPr>
          <w:b/>
        </w:rPr>
        <w:t xml:space="preserve"> тыс. рублей.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По данным главного администратора доходов – администрации городского округа Кинешма – прогноз поступления доходов</w:t>
      </w:r>
      <w:r w:rsidRPr="00061448">
        <w:rPr>
          <w:b/>
        </w:rPr>
        <w:t xml:space="preserve"> </w:t>
      </w:r>
      <w:r w:rsidRPr="00061448">
        <w:t>от перечисления части прибыли</w:t>
      </w:r>
      <w:r w:rsidRPr="00061448">
        <w:rPr>
          <w:b/>
        </w:rPr>
        <w:t xml:space="preserve"> </w:t>
      </w:r>
      <w:proofErr w:type="spellStart"/>
      <w:r w:rsidRPr="00061448">
        <w:t>МУПов</w:t>
      </w:r>
      <w:proofErr w:type="spellEnd"/>
      <w:r w:rsidRPr="00061448">
        <w:t xml:space="preserve"> составит:</w:t>
      </w:r>
    </w:p>
    <w:p w:rsidR="00EF0553" w:rsidRPr="00061448" w:rsidRDefault="00EF0553" w:rsidP="00EF0553">
      <w:pPr>
        <w:tabs>
          <w:tab w:val="left" w:pos="567"/>
          <w:tab w:val="center" w:pos="5323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2</w:t>
      </w:r>
      <w:r w:rsidRPr="00061448">
        <w:rPr>
          <w:b/>
        </w:rPr>
        <w:t xml:space="preserve"> год – </w:t>
      </w:r>
      <w:r w:rsidR="00FD42E9">
        <w:rPr>
          <w:b/>
        </w:rPr>
        <w:t>3</w:t>
      </w:r>
      <w:r w:rsidR="00061448" w:rsidRPr="00061448">
        <w:rPr>
          <w:b/>
        </w:rPr>
        <w:t> </w:t>
      </w:r>
      <w:r w:rsidR="00FD42E9">
        <w:rPr>
          <w:b/>
        </w:rPr>
        <w:t>8</w:t>
      </w:r>
      <w:r w:rsidR="00061448" w:rsidRPr="00061448">
        <w:rPr>
          <w:b/>
        </w:rPr>
        <w:t>88,0</w:t>
      </w:r>
      <w:r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3</w:t>
      </w:r>
      <w:r w:rsidRPr="00061448">
        <w:rPr>
          <w:b/>
        </w:rPr>
        <w:t xml:space="preserve"> год – </w:t>
      </w:r>
      <w:r w:rsidR="00061448" w:rsidRPr="00061448">
        <w:rPr>
          <w:b/>
        </w:rPr>
        <w:t>1 632,5</w:t>
      </w:r>
      <w:r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567"/>
        </w:tabs>
        <w:ind w:left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4</w:t>
      </w:r>
      <w:r w:rsidRPr="00061448">
        <w:rPr>
          <w:b/>
        </w:rPr>
        <w:t xml:space="preserve"> год – </w:t>
      </w:r>
      <w:r w:rsidR="00061448" w:rsidRPr="00061448">
        <w:rPr>
          <w:b/>
        </w:rPr>
        <w:t>1 628,5</w:t>
      </w:r>
      <w:r w:rsidRPr="00061448">
        <w:rPr>
          <w:b/>
        </w:rPr>
        <w:t xml:space="preserve"> тыс. рублей.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lastRenderedPageBreak/>
        <w:t>По данным главного администратора доходов – администрации городского округа Кинешма, прогноз поступлений платы за наем муниципального жилого фонда (без учета ее индексации в плановом периоде) составит:</w:t>
      </w:r>
    </w:p>
    <w:p w:rsidR="00EF0553" w:rsidRPr="00061448" w:rsidRDefault="00EF0553" w:rsidP="00061448">
      <w:pPr>
        <w:tabs>
          <w:tab w:val="left" w:pos="567"/>
          <w:tab w:val="center" w:pos="5323"/>
        </w:tabs>
        <w:ind w:firstLine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2</w:t>
      </w:r>
      <w:r w:rsidRPr="00061448">
        <w:rPr>
          <w:b/>
        </w:rPr>
        <w:t xml:space="preserve"> год – 6</w:t>
      </w:r>
      <w:r w:rsidR="001502BE">
        <w:rPr>
          <w:b/>
        </w:rPr>
        <w:t> 500,0</w:t>
      </w:r>
      <w:r w:rsidRPr="00061448">
        <w:rPr>
          <w:b/>
        </w:rPr>
        <w:t xml:space="preserve"> тыс. рублей;</w:t>
      </w:r>
    </w:p>
    <w:p w:rsidR="00EF0553" w:rsidRPr="00061448" w:rsidRDefault="00061448" w:rsidP="00EF0553">
      <w:pPr>
        <w:tabs>
          <w:tab w:val="left" w:pos="567"/>
        </w:tabs>
        <w:ind w:firstLine="709"/>
        <w:jc w:val="both"/>
        <w:rPr>
          <w:b/>
        </w:rPr>
      </w:pPr>
      <w:r w:rsidRPr="00061448">
        <w:rPr>
          <w:b/>
        </w:rPr>
        <w:t>2023</w:t>
      </w:r>
      <w:r w:rsidR="00EF0553" w:rsidRPr="00061448">
        <w:rPr>
          <w:b/>
        </w:rPr>
        <w:t xml:space="preserve"> год – 6</w:t>
      </w:r>
      <w:r w:rsidR="001502BE">
        <w:rPr>
          <w:b/>
        </w:rPr>
        <w:t> 500,0</w:t>
      </w:r>
      <w:r w:rsidR="00EF0553"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061448">
        <w:rPr>
          <w:b/>
        </w:rPr>
        <w:t>202</w:t>
      </w:r>
      <w:r w:rsidR="00061448" w:rsidRPr="00061448">
        <w:rPr>
          <w:b/>
        </w:rPr>
        <w:t>4</w:t>
      </w:r>
      <w:r w:rsidRPr="00061448">
        <w:rPr>
          <w:b/>
        </w:rPr>
        <w:t xml:space="preserve"> год – 6</w:t>
      </w:r>
      <w:r w:rsidR="001502BE">
        <w:rPr>
          <w:b/>
        </w:rPr>
        <w:t> 500,0</w:t>
      </w:r>
      <w:r w:rsidRPr="00061448">
        <w:rPr>
          <w:b/>
        </w:rPr>
        <w:t xml:space="preserve"> тыс. рублей.</w:t>
      </w:r>
    </w:p>
    <w:p w:rsidR="00EF0553" w:rsidRPr="00A767CF" w:rsidRDefault="00EF0553" w:rsidP="00EF0553">
      <w:pPr>
        <w:tabs>
          <w:tab w:val="left" w:pos="567"/>
        </w:tabs>
        <w:jc w:val="both"/>
        <w:rPr>
          <w:b/>
          <w:highlight w:val="yellow"/>
        </w:rPr>
      </w:pPr>
    </w:p>
    <w:p w:rsidR="00EF0553" w:rsidRPr="00061448" w:rsidRDefault="00EF0553" w:rsidP="00EF0553">
      <w:pPr>
        <w:tabs>
          <w:tab w:val="left" w:pos="567"/>
        </w:tabs>
        <w:jc w:val="center"/>
        <w:rPr>
          <w:b/>
        </w:rPr>
      </w:pPr>
      <w:r w:rsidRPr="00061448">
        <w:rPr>
          <w:b/>
        </w:rPr>
        <w:t>Платежи при пользовании природными ресурсами</w:t>
      </w:r>
    </w:p>
    <w:p w:rsidR="00061448" w:rsidRPr="00061448" w:rsidRDefault="00061448" w:rsidP="00EF0553">
      <w:pPr>
        <w:tabs>
          <w:tab w:val="left" w:pos="567"/>
        </w:tabs>
        <w:jc w:val="center"/>
        <w:rPr>
          <w:b/>
        </w:rPr>
      </w:pPr>
    </w:p>
    <w:p w:rsidR="00EF0553" w:rsidRPr="00061448" w:rsidRDefault="00EF0553" w:rsidP="00EF0553">
      <w:pPr>
        <w:tabs>
          <w:tab w:val="left" w:pos="567"/>
        </w:tabs>
        <w:jc w:val="both"/>
      </w:pPr>
      <w:r w:rsidRPr="00061448">
        <w:tab/>
      </w:r>
      <w:proofErr w:type="gramStart"/>
      <w:r w:rsidRPr="00061448">
        <w:t>По данным Межрегионального управления Федеральной службы по надзору в сфере природопользования по Ивановской и Владимирской областям прогноз поступлений платы за негативное воздействие на окружающую среду составит:</w:t>
      </w:r>
      <w:proofErr w:type="gramEnd"/>
    </w:p>
    <w:p w:rsidR="00EF0553" w:rsidRPr="00061448" w:rsidRDefault="00EF0553" w:rsidP="00EF0553">
      <w:pPr>
        <w:tabs>
          <w:tab w:val="left" w:pos="0"/>
        </w:tabs>
        <w:ind w:firstLine="709"/>
        <w:jc w:val="both"/>
        <w:rPr>
          <w:b/>
        </w:rPr>
      </w:pPr>
      <w:r w:rsidRPr="00061448">
        <w:rPr>
          <w:b/>
        </w:rPr>
        <w:t>202</w:t>
      </w:r>
      <w:r w:rsidR="00061448">
        <w:rPr>
          <w:b/>
        </w:rPr>
        <w:t>2</w:t>
      </w:r>
      <w:r w:rsidRPr="00061448">
        <w:rPr>
          <w:b/>
        </w:rPr>
        <w:t xml:space="preserve"> год – </w:t>
      </w:r>
      <w:r w:rsidR="00061448">
        <w:rPr>
          <w:b/>
        </w:rPr>
        <w:t>1 305,2</w:t>
      </w:r>
      <w:r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0"/>
        </w:tabs>
        <w:ind w:firstLine="709"/>
        <w:jc w:val="both"/>
        <w:rPr>
          <w:b/>
        </w:rPr>
      </w:pPr>
      <w:r w:rsidRPr="00061448">
        <w:rPr>
          <w:b/>
        </w:rPr>
        <w:t>202</w:t>
      </w:r>
      <w:r w:rsidR="00061448">
        <w:rPr>
          <w:b/>
        </w:rPr>
        <w:t>3</w:t>
      </w:r>
      <w:r w:rsidRPr="00061448">
        <w:rPr>
          <w:b/>
        </w:rPr>
        <w:t xml:space="preserve"> год – </w:t>
      </w:r>
      <w:r w:rsidR="00061448">
        <w:rPr>
          <w:b/>
        </w:rPr>
        <w:t>1 357,4</w:t>
      </w:r>
      <w:r w:rsidRPr="00061448">
        <w:rPr>
          <w:b/>
        </w:rPr>
        <w:t xml:space="preserve"> тыс. рублей;</w:t>
      </w:r>
    </w:p>
    <w:p w:rsidR="00EF0553" w:rsidRPr="00061448" w:rsidRDefault="00EF0553" w:rsidP="00EF0553">
      <w:pPr>
        <w:tabs>
          <w:tab w:val="left" w:pos="0"/>
        </w:tabs>
        <w:ind w:firstLine="709"/>
        <w:jc w:val="both"/>
        <w:rPr>
          <w:b/>
        </w:rPr>
      </w:pPr>
      <w:r w:rsidRPr="00061448">
        <w:rPr>
          <w:b/>
        </w:rPr>
        <w:t>202</w:t>
      </w:r>
      <w:r w:rsidR="00061448">
        <w:rPr>
          <w:b/>
        </w:rPr>
        <w:t>4</w:t>
      </w:r>
      <w:r w:rsidRPr="00061448">
        <w:rPr>
          <w:b/>
        </w:rPr>
        <w:t xml:space="preserve"> год – </w:t>
      </w:r>
      <w:r w:rsidR="00061448">
        <w:rPr>
          <w:b/>
        </w:rPr>
        <w:t>1 411,6</w:t>
      </w:r>
      <w:r w:rsidRPr="00061448">
        <w:rPr>
          <w:b/>
        </w:rPr>
        <w:t xml:space="preserve"> тыс. рублей.</w:t>
      </w:r>
    </w:p>
    <w:p w:rsidR="00EF0553" w:rsidRPr="00061448" w:rsidRDefault="00EF0553" w:rsidP="00EF0553">
      <w:pPr>
        <w:tabs>
          <w:tab w:val="left" w:pos="567"/>
        </w:tabs>
        <w:ind w:firstLine="709"/>
        <w:jc w:val="both"/>
      </w:pPr>
      <w:r w:rsidRPr="00061448">
        <w:t>Прогноз поступлений составлен с учетом норматива отчислений, применяемого с 01.01.2020 года для городских округов, в размере 60%.</w:t>
      </w:r>
    </w:p>
    <w:p w:rsidR="00947132" w:rsidRPr="00A767CF" w:rsidRDefault="00947132" w:rsidP="00EF0553">
      <w:pPr>
        <w:tabs>
          <w:tab w:val="left" w:pos="567"/>
        </w:tabs>
        <w:ind w:firstLine="709"/>
        <w:jc w:val="both"/>
        <w:rPr>
          <w:highlight w:val="yellow"/>
        </w:rPr>
      </w:pPr>
    </w:p>
    <w:p w:rsidR="00EF0553" w:rsidRPr="00725645" w:rsidRDefault="00EF0553" w:rsidP="00EF0553">
      <w:pPr>
        <w:tabs>
          <w:tab w:val="left" w:pos="567"/>
        </w:tabs>
        <w:jc w:val="center"/>
        <w:rPr>
          <w:b/>
        </w:rPr>
      </w:pPr>
      <w:r w:rsidRPr="00725645">
        <w:rPr>
          <w:b/>
        </w:rPr>
        <w:t>Доходы от оказания платных услуг (работ)</w:t>
      </w:r>
    </w:p>
    <w:p w:rsidR="00EF0553" w:rsidRPr="00725645" w:rsidRDefault="00EF0553" w:rsidP="00EF0553">
      <w:pPr>
        <w:tabs>
          <w:tab w:val="left" w:pos="567"/>
        </w:tabs>
        <w:jc w:val="center"/>
        <w:rPr>
          <w:b/>
        </w:rPr>
      </w:pPr>
      <w:r w:rsidRPr="00725645">
        <w:rPr>
          <w:b/>
        </w:rPr>
        <w:t>и компенсации затрат государства</w:t>
      </w:r>
    </w:p>
    <w:p w:rsidR="00725645" w:rsidRPr="00725645" w:rsidRDefault="00725645" w:rsidP="00EF0553">
      <w:pPr>
        <w:tabs>
          <w:tab w:val="left" w:pos="567"/>
        </w:tabs>
        <w:jc w:val="center"/>
        <w:rPr>
          <w:b/>
        </w:rPr>
      </w:pPr>
    </w:p>
    <w:p w:rsidR="00EF0553" w:rsidRPr="00725645" w:rsidRDefault="00EF0553" w:rsidP="00EF0553">
      <w:pPr>
        <w:tabs>
          <w:tab w:val="left" w:pos="567"/>
        </w:tabs>
        <w:ind w:firstLine="709"/>
        <w:jc w:val="both"/>
      </w:pPr>
      <w:proofErr w:type="gramStart"/>
      <w:r w:rsidRPr="00725645">
        <w:t>Прогноз суммы поступлений доходов от оказания платных услуг (работ) и компенсации затрат государства, поступающих в бюджет городского округа Кинешма, на 202</w:t>
      </w:r>
      <w:r w:rsidR="00725645" w:rsidRPr="00725645">
        <w:t>2</w:t>
      </w:r>
      <w:r w:rsidRPr="00725645">
        <w:t xml:space="preserve"> год и плановый период 202</w:t>
      </w:r>
      <w:r w:rsidR="00725645" w:rsidRPr="00725645">
        <w:t>3</w:t>
      </w:r>
      <w:r w:rsidRPr="00725645">
        <w:t xml:space="preserve"> и 202</w:t>
      </w:r>
      <w:r w:rsidR="00725645" w:rsidRPr="00725645">
        <w:t>4</w:t>
      </w:r>
      <w:r w:rsidRPr="00725645">
        <w:t xml:space="preserve"> годов составлен исходя из прогнозных данных, представленных администратором доходов бюджета городского округа Кинешма – МУ «Управление ГОЧС </w:t>
      </w:r>
      <w:proofErr w:type="spellStart"/>
      <w:r w:rsidRPr="00725645">
        <w:t>г.о</w:t>
      </w:r>
      <w:proofErr w:type="spellEnd"/>
      <w:r w:rsidRPr="00725645">
        <w:t>. Кинешма» с учетом возможной индексации тарифов в соответствии с уровнем инфляции.</w:t>
      </w:r>
      <w:proofErr w:type="gramEnd"/>
      <w:r w:rsidRPr="00725645">
        <w:t xml:space="preserve"> Поступления доходов от оказания платных услуг за обслуживание опасных производственных объектов составит с учетом поэтапной индексации тарифов с 01.01.2023: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2</w:t>
      </w:r>
      <w:r w:rsidRPr="00725645">
        <w:rPr>
          <w:b/>
        </w:rPr>
        <w:t xml:space="preserve"> год – 3 0</w:t>
      </w:r>
      <w:r w:rsidR="00725645" w:rsidRPr="00725645">
        <w:rPr>
          <w:b/>
        </w:rPr>
        <w:t>08</w:t>
      </w:r>
      <w:r w:rsidRPr="00725645">
        <w:rPr>
          <w:b/>
        </w:rPr>
        <w:t>,</w:t>
      </w:r>
      <w:r w:rsidR="00725645" w:rsidRPr="00725645">
        <w:rPr>
          <w:b/>
        </w:rPr>
        <w:t>9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3</w:t>
      </w:r>
      <w:r w:rsidRPr="00725645">
        <w:rPr>
          <w:b/>
        </w:rPr>
        <w:t xml:space="preserve"> год – 3</w:t>
      </w:r>
      <w:r w:rsidR="00725645" w:rsidRPr="00725645">
        <w:rPr>
          <w:b/>
        </w:rPr>
        <w:t> 165,2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4</w:t>
      </w:r>
      <w:r w:rsidRPr="00725645">
        <w:rPr>
          <w:b/>
        </w:rPr>
        <w:t xml:space="preserve"> год – 3</w:t>
      </w:r>
      <w:r w:rsidR="00725645" w:rsidRPr="00725645">
        <w:rPr>
          <w:b/>
        </w:rPr>
        <w:t> 165,2</w:t>
      </w:r>
      <w:r w:rsidRPr="00725645">
        <w:rPr>
          <w:b/>
        </w:rPr>
        <w:t xml:space="preserve"> тыс. рублей.</w:t>
      </w:r>
    </w:p>
    <w:p w:rsidR="00EF0553" w:rsidRPr="00A767CF" w:rsidRDefault="00EF0553" w:rsidP="00EF0553">
      <w:pPr>
        <w:ind w:firstLine="709"/>
        <w:jc w:val="both"/>
        <w:rPr>
          <w:sz w:val="20"/>
          <w:szCs w:val="20"/>
          <w:highlight w:val="yellow"/>
        </w:rPr>
      </w:pPr>
    </w:p>
    <w:p w:rsidR="00EF0553" w:rsidRPr="00725645" w:rsidRDefault="00EF0553" w:rsidP="00EF0553">
      <w:pPr>
        <w:jc w:val="center"/>
      </w:pPr>
      <w:r w:rsidRPr="00725645">
        <w:rPr>
          <w:b/>
        </w:rPr>
        <w:t>Доходы от продажи материальных и нематериальных активов</w:t>
      </w:r>
    </w:p>
    <w:p w:rsidR="00725645" w:rsidRPr="00A767CF" w:rsidRDefault="00725645" w:rsidP="00EF0553">
      <w:pPr>
        <w:jc w:val="center"/>
        <w:rPr>
          <w:highlight w:val="yellow"/>
        </w:rPr>
      </w:pPr>
    </w:p>
    <w:p w:rsidR="00EF0553" w:rsidRPr="001502BE" w:rsidRDefault="00EF0553" w:rsidP="00EF0553">
      <w:pPr>
        <w:ind w:firstLine="708"/>
        <w:jc w:val="both"/>
        <w:rPr>
          <w:b/>
        </w:rPr>
      </w:pPr>
      <w:r w:rsidRPr="00725645">
        <w:t>Доходы от продажи материальных и нематериальных активов</w:t>
      </w:r>
      <w:r w:rsidRPr="00725645">
        <w:rPr>
          <w:i/>
        </w:rPr>
        <w:t xml:space="preserve"> </w:t>
      </w:r>
      <w:r w:rsidRPr="00725645">
        <w:t>запланированы на 202</w:t>
      </w:r>
      <w:r w:rsidR="00725645" w:rsidRPr="00725645">
        <w:t>2</w:t>
      </w:r>
      <w:r w:rsidRPr="00725645">
        <w:t xml:space="preserve"> год в сумме </w:t>
      </w:r>
      <w:r w:rsidR="001502BE" w:rsidRPr="001502BE">
        <w:rPr>
          <w:b/>
        </w:rPr>
        <w:t>20</w:t>
      </w:r>
      <w:r w:rsidRPr="001502BE">
        <w:rPr>
          <w:b/>
        </w:rPr>
        <w:t xml:space="preserve"> 000,0 тыс. рублей</w:t>
      </w:r>
      <w:r w:rsidRPr="001502BE">
        <w:t xml:space="preserve"> и составляют </w:t>
      </w:r>
      <w:r w:rsidR="001502BE" w:rsidRPr="005F0DD0">
        <w:rPr>
          <w:b/>
        </w:rPr>
        <w:t>31,6</w:t>
      </w:r>
      <w:r w:rsidRPr="001502BE">
        <w:rPr>
          <w:b/>
        </w:rPr>
        <w:t>%</w:t>
      </w:r>
      <w:r w:rsidRPr="001502BE">
        <w:t xml:space="preserve"> в общей сумме предусмотренных неналоговых доходов.</w:t>
      </w:r>
    </w:p>
    <w:p w:rsidR="00EF0553" w:rsidRPr="00725645" w:rsidRDefault="00EF0553" w:rsidP="00EF0553">
      <w:pPr>
        <w:tabs>
          <w:tab w:val="left" w:pos="567"/>
        </w:tabs>
        <w:jc w:val="both"/>
      </w:pPr>
      <w:r w:rsidRPr="00725645">
        <w:tab/>
        <w:t xml:space="preserve">В соответствии с бюджетным законодательством РФ прогноз поступлений доходов от реализации имущества представлен главным администратором доходов бюджета городского округа Кинешма. 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</w:pPr>
      <w:r w:rsidRPr="00725645">
        <w:t>Поступления от продажи муниципального имущества в трехлетнем периоде составят: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lastRenderedPageBreak/>
        <w:t>202</w:t>
      </w:r>
      <w:r w:rsidR="00725645" w:rsidRPr="00725645">
        <w:rPr>
          <w:b/>
        </w:rPr>
        <w:t>2</w:t>
      </w:r>
      <w:r w:rsidRPr="00725645">
        <w:rPr>
          <w:b/>
        </w:rPr>
        <w:t xml:space="preserve"> год – </w:t>
      </w:r>
      <w:r w:rsidR="001502BE">
        <w:rPr>
          <w:b/>
        </w:rPr>
        <w:t>10 000,</w:t>
      </w:r>
      <w:r w:rsidR="00725645" w:rsidRPr="00725645">
        <w:rPr>
          <w:b/>
        </w:rPr>
        <w:t>0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3</w:t>
      </w:r>
      <w:r w:rsidRPr="00725645">
        <w:rPr>
          <w:b/>
        </w:rPr>
        <w:t xml:space="preserve"> год – </w:t>
      </w:r>
      <w:r w:rsidR="00725645" w:rsidRPr="00725645">
        <w:rPr>
          <w:b/>
        </w:rPr>
        <w:t>4 769,6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4</w:t>
      </w:r>
      <w:r w:rsidRPr="00725645">
        <w:rPr>
          <w:b/>
        </w:rPr>
        <w:t xml:space="preserve"> год – </w:t>
      </w:r>
      <w:r w:rsidR="00725645" w:rsidRPr="00725645">
        <w:rPr>
          <w:b/>
        </w:rPr>
        <w:t>4 94</w:t>
      </w:r>
      <w:r w:rsidR="00725645">
        <w:rPr>
          <w:b/>
        </w:rPr>
        <w:t>6</w:t>
      </w:r>
      <w:r w:rsidR="00725645" w:rsidRPr="00725645">
        <w:rPr>
          <w:b/>
        </w:rPr>
        <w:t>,1</w:t>
      </w:r>
      <w:r w:rsidRPr="00725645">
        <w:rPr>
          <w:b/>
        </w:rPr>
        <w:t xml:space="preserve"> тыс. рублей.</w:t>
      </w:r>
    </w:p>
    <w:p w:rsidR="00EF0553" w:rsidRPr="00725645" w:rsidRDefault="00EF0553" w:rsidP="00EF0553">
      <w:pPr>
        <w:tabs>
          <w:tab w:val="left" w:pos="567"/>
        </w:tabs>
        <w:ind w:firstLine="709"/>
        <w:jc w:val="both"/>
      </w:pPr>
      <w:r w:rsidRPr="00725645">
        <w:t>Прогноз поступления доходов от продажи земельных участков</w:t>
      </w:r>
      <w:r w:rsidRPr="00725645">
        <w:rPr>
          <w:b/>
        </w:rPr>
        <w:t xml:space="preserve"> </w:t>
      </w:r>
      <w:r w:rsidRPr="00725645">
        <w:t>с учетом данных главного администратора доходов - комитета имущественных и земельных отношений администрации городского округа Кинешма, составит:</w:t>
      </w:r>
    </w:p>
    <w:p w:rsidR="00EF0553" w:rsidRPr="00725645" w:rsidRDefault="00EF0553" w:rsidP="001502BE">
      <w:pPr>
        <w:tabs>
          <w:tab w:val="left" w:pos="709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2</w:t>
      </w:r>
      <w:r w:rsidRPr="00725645">
        <w:rPr>
          <w:b/>
        </w:rPr>
        <w:t xml:space="preserve"> год – </w:t>
      </w:r>
      <w:r w:rsidR="001502BE">
        <w:rPr>
          <w:b/>
        </w:rPr>
        <w:t>10 000,0</w:t>
      </w:r>
      <w:r w:rsidRPr="00725645">
        <w:rPr>
          <w:b/>
        </w:rPr>
        <w:t xml:space="preserve"> тыс. рублей;</w:t>
      </w:r>
    </w:p>
    <w:p w:rsidR="00EF0553" w:rsidRPr="00725645" w:rsidRDefault="00EF0553" w:rsidP="00725645">
      <w:pPr>
        <w:tabs>
          <w:tab w:val="left" w:pos="709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3</w:t>
      </w:r>
      <w:r w:rsidRPr="00725645">
        <w:rPr>
          <w:b/>
        </w:rPr>
        <w:t xml:space="preserve"> год – </w:t>
      </w:r>
      <w:r w:rsidR="00725645" w:rsidRPr="00725645">
        <w:rPr>
          <w:b/>
        </w:rPr>
        <w:t>4 796,8</w:t>
      </w:r>
      <w:r w:rsidRPr="00725645">
        <w:rPr>
          <w:b/>
        </w:rPr>
        <w:t xml:space="preserve"> тыс. рублей;</w:t>
      </w:r>
    </w:p>
    <w:p w:rsidR="00EF0553" w:rsidRPr="00725645" w:rsidRDefault="00EF0553" w:rsidP="00725645">
      <w:pPr>
        <w:tabs>
          <w:tab w:val="left" w:pos="709"/>
        </w:tabs>
        <w:ind w:firstLine="709"/>
        <w:jc w:val="both"/>
        <w:rPr>
          <w:b/>
        </w:rPr>
      </w:pPr>
      <w:r w:rsidRPr="00725645">
        <w:rPr>
          <w:b/>
        </w:rPr>
        <w:t>202</w:t>
      </w:r>
      <w:r w:rsidR="00725645" w:rsidRPr="00725645">
        <w:rPr>
          <w:b/>
        </w:rPr>
        <w:t>4</w:t>
      </w:r>
      <w:r w:rsidRPr="00725645">
        <w:rPr>
          <w:b/>
        </w:rPr>
        <w:t xml:space="preserve"> год – </w:t>
      </w:r>
      <w:r w:rsidR="00725645" w:rsidRPr="00725645">
        <w:rPr>
          <w:b/>
        </w:rPr>
        <w:t>4 974,3</w:t>
      </w:r>
      <w:r w:rsidRPr="00725645">
        <w:rPr>
          <w:b/>
        </w:rPr>
        <w:t xml:space="preserve"> тыс. рублей.</w:t>
      </w:r>
    </w:p>
    <w:p w:rsidR="00EF0553" w:rsidRPr="00A767CF" w:rsidRDefault="00EF0553" w:rsidP="00EF0553">
      <w:pPr>
        <w:tabs>
          <w:tab w:val="left" w:pos="567"/>
        </w:tabs>
        <w:ind w:firstLine="709"/>
        <w:jc w:val="both"/>
        <w:rPr>
          <w:highlight w:val="yellow"/>
        </w:rPr>
      </w:pPr>
    </w:p>
    <w:p w:rsidR="00EF0553" w:rsidRPr="00725645" w:rsidRDefault="00EF0553" w:rsidP="00EF0553">
      <w:pPr>
        <w:jc w:val="center"/>
        <w:rPr>
          <w:b/>
          <w:bCs/>
        </w:rPr>
      </w:pPr>
      <w:r w:rsidRPr="00725645">
        <w:rPr>
          <w:b/>
          <w:bCs/>
        </w:rPr>
        <w:t>Штрафы, санкции, возмещение ущерба</w:t>
      </w:r>
    </w:p>
    <w:p w:rsidR="00725645" w:rsidRPr="00A767CF" w:rsidRDefault="00725645" w:rsidP="00EF0553">
      <w:pPr>
        <w:jc w:val="center"/>
        <w:rPr>
          <w:b/>
          <w:bCs/>
          <w:highlight w:val="yellow"/>
        </w:rPr>
      </w:pPr>
    </w:p>
    <w:p w:rsidR="00EF0553" w:rsidRPr="00F77B5B" w:rsidRDefault="00EF0553" w:rsidP="00EF0553">
      <w:pPr>
        <w:ind w:left="-567" w:firstLine="708"/>
        <w:jc w:val="both"/>
      </w:pPr>
      <w:r w:rsidRPr="00F77B5B">
        <w:t xml:space="preserve">Прогноз поступлений от штрафов, </w:t>
      </w:r>
      <w:r w:rsidR="00111C99" w:rsidRPr="00F77B5B">
        <w:t>взыскан</w:t>
      </w:r>
      <w:r w:rsidRPr="00F77B5B">
        <w:t xml:space="preserve">ий составлен с учетом норм статьи 46 Бюджетного кодекса РФ. В бюджет города будет поступать преимущественно </w:t>
      </w:r>
      <w:r w:rsidR="00111C99" w:rsidRPr="00F77B5B">
        <w:t xml:space="preserve">административные </w:t>
      </w:r>
      <w:r w:rsidRPr="00F77B5B">
        <w:t>штраф</w:t>
      </w:r>
      <w:r w:rsidR="00111C99" w:rsidRPr="00F77B5B">
        <w:t>ы</w:t>
      </w:r>
      <w:r w:rsidRPr="00F77B5B">
        <w:t xml:space="preserve">, </w:t>
      </w:r>
      <w:r w:rsidR="00111C99" w:rsidRPr="00F77B5B">
        <w:t>установленные КОАП РФ</w:t>
      </w:r>
      <w:r w:rsidRPr="00F77B5B">
        <w:t xml:space="preserve">, </w:t>
      </w:r>
      <w:r w:rsidR="00B9028A" w:rsidRPr="00F77B5B">
        <w:t xml:space="preserve">а так же </w:t>
      </w:r>
      <w:r w:rsidRPr="00F77B5B">
        <w:t>штрафы за нарушение муниципальных правовых актов, налагаемые органами муниципального контроля</w:t>
      </w:r>
      <w:r w:rsidR="00251405">
        <w:t>,</w:t>
      </w:r>
      <w:r w:rsidR="00111C99" w:rsidRPr="00F77B5B">
        <w:t xml:space="preserve"> и </w:t>
      </w:r>
      <w:r w:rsidR="00F77B5B">
        <w:t xml:space="preserve">доходы от денежных взысканий (штрафов) </w:t>
      </w:r>
      <w:r w:rsidR="00251405">
        <w:t xml:space="preserve">в счет </w:t>
      </w:r>
      <w:r w:rsidR="00111C99" w:rsidRPr="00F77B5B">
        <w:t>погашени</w:t>
      </w:r>
      <w:r w:rsidR="00251405">
        <w:t>я</w:t>
      </w:r>
      <w:r w:rsidR="00111C99" w:rsidRPr="00F77B5B">
        <w:t xml:space="preserve"> задолженности, сложивш</w:t>
      </w:r>
      <w:r w:rsidR="00251405">
        <w:t>ей</w:t>
      </w:r>
      <w:r w:rsidR="00111C99" w:rsidRPr="00F77B5B">
        <w:t>ся по состоянию на 01.01.2020 года</w:t>
      </w:r>
      <w:r w:rsidRPr="00F77B5B">
        <w:t>.</w:t>
      </w:r>
    </w:p>
    <w:p w:rsidR="00EF0553" w:rsidRPr="00725645" w:rsidRDefault="00EF0553" w:rsidP="00EF0553">
      <w:pPr>
        <w:ind w:left="-567" w:firstLine="708"/>
        <w:jc w:val="both"/>
      </w:pPr>
      <w:r w:rsidRPr="00725645">
        <w:t>Прогноз поступлений составит соответственно:</w:t>
      </w:r>
    </w:p>
    <w:p w:rsidR="00EF0553" w:rsidRPr="00725645" w:rsidRDefault="00EF0553" w:rsidP="00EF0553">
      <w:pPr>
        <w:tabs>
          <w:tab w:val="left" w:pos="567"/>
        </w:tabs>
        <w:jc w:val="both"/>
        <w:rPr>
          <w:b/>
        </w:rPr>
      </w:pPr>
      <w:r w:rsidRPr="00725645">
        <w:tab/>
      </w:r>
      <w:r w:rsidRPr="00725645">
        <w:rPr>
          <w:b/>
        </w:rPr>
        <w:t>202</w:t>
      </w:r>
      <w:r w:rsidR="00725645" w:rsidRPr="00725645">
        <w:rPr>
          <w:b/>
        </w:rPr>
        <w:t>2</w:t>
      </w:r>
      <w:r w:rsidRPr="00725645">
        <w:rPr>
          <w:b/>
        </w:rPr>
        <w:t xml:space="preserve"> год – </w:t>
      </w:r>
      <w:r w:rsidR="00B9084A">
        <w:rPr>
          <w:b/>
        </w:rPr>
        <w:t>424,9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jc w:val="both"/>
        <w:rPr>
          <w:b/>
        </w:rPr>
      </w:pPr>
      <w:r w:rsidRPr="00725645">
        <w:rPr>
          <w:b/>
        </w:rPr>
        <w:tab/>
        <w:t>202</w:t>
      </w:r>
      <w:r w:rsidR="00725645" w:rsidRPr="00725645">
        <w:rPr>
          <w:b/>
        </w:rPr>
        <w:t>3</w:t>
      </w:r>
      <w:r w:rsidRPr="00725645">
        <w:rPr>
          <w:b/>
        </w:rPr>
        <w:t xml:space="preserve"> год – </w:t>
      </w:r>
      <w:r w:rsidR="00B9084A">
        <w:rPr>
          <w:b/>
        </w:rPr>
        <w:t>414,9</w:t>
      </w:r>
      <w:r w:rsidRPr="00725645">
        <w:rPr>
          <w:b/>
        </w:rPr>
        <w:t xml:space="preserve"> тыс. рублей;</w:t>
      </w:r>
    </w:p>
    <w:p w:rsidR="00EF0553" w:rsidRPr="00725645" w:rsidRDefault="00EF0553" w:rsidP="00EF0553">
      <w:pPr>
        <w:tabs>
          <w:tab w:val="left" w:pos="567"/>
        </w:tabs>
        <w:jc w:val="both"/>
        <w:rPr>
          <w:b/>
        </w:rPr>
      </w:pPr>
      <w:r w:rsidRPr="00725645">
        <w:rPr>
          <w:b/>
        </w:rPr>
        <w:tab/>
        <w:t>202</w:t>
      </w:r>
      <w:r w:rsidR="00725645" w:rsidRPr="00725645">
        <w:rPr>
          <w:b/>
        </w:rPr>
        <w:t>4</w:t>
      </w:r>
      <w:r w:rsidRPr="00725645">
        <w:rPr>
          <w:b/>
        </w:rPr>
        <w:t xml:space="preserve"> год – </w:t>
      </w:r>
      <w:r w:rsidR="00B9084A">
        <w:rPr>
          <w:b/>
        </w:rPr>
        <w:t>404,</w:t>
      </w:r>
      <w:r w:rsidR="00581E5B">
        <w:rPr>
          <w:b/>
        </w:rPr>
        <w:t>8</w:t>
      </w:r>
      <w:r w:rsidRPr="00725645">
        <w:rPr>
          <w:b/>
        </w:rPr>
        <w:t xml:space="preserve"> тыс. рублей.</w:t>
      </w:r>
    </w:p>
    <w:p w:rsidR="00EF0553" w:rsidRPr="0039378D" w:rsidRDefault="00EF0553" w:rsidP="00EF0553">
      <w:pPr>
        <w:jc w:val="center"/>
        <w:rPr>
          <w:b/>
          <w:snapToGrid/>
          <w:sz w:val="20"/>
          <w:szCs w:val="20"/>
          <w:highlight w:val="yellow"/>
        </w:rPr>
      </w:pPr>
    </w:p>
    <w:p w:rsidR="00EF0553" w:rsidRPr="00B9084A" w:rsidRDefault="00EF0553" w:rsidP="00EF0553">
      <w:pPr>
        <w:jc w:val="center"/>
        <w:rPr>
          <w:b/>
          <w:snapToGrid/>
          <w:szCs w:val="20"/>
        </w:rPr>
      </w:pPr>
      <w:r w:rsidRPr="00B9084A">
        <w:rPr>
          <w:b/>
          <w:snapToGrid/>
          <w:szCs w:val="20"/>
        </w:rPr>
        <w:t>Прочие неналоговые доходы</w:t>
      </w:r>
    </w:p>
    <w:p w:rsidR="00725645" w:rsidRPr="0039378D" w:rsidRDefault="00725645" w:rsidP="00EF0553">
      <w:pPr>
        <w:jc w:val="center"/>
        <w:rPr>
          <w:b/>
          <w:snapToGrid/>
          <w:sz w:val="20"/>
          <w:szCs w:val="20"/>
          <w:highlight w:val="yellow"/>
        </w:rPr>
      </w:pPr>
    </w:p>
    <w:p w:rsidR="00B9084A" w:rsidRPr="00B9084A" w:rsidRDefault="00EF0553" w:rsidP="00EF0553">
      <w:pPr>
        <w:ind w:firstLine="708"/>
        <w:jc w:val="both"/>
        <w:rPr>
          <w:snapToGrid/>
          <w:szCs w:val="20"/>
        </w:rPr>
      </w:pPr>
      <w:r w:rsidRPr="00B9084A">
        <w:rPr>
          <w:snapToGrid/>
          <w:szCs w:val="20"/>
        </w:rPr>
        <w:t>Прогноз поступлений прочих неналоговых доходов составлен по данным главных администраторов (администраторов) доходов бюджета городского округа, а именно:</w:t>
      </w:r>
    </w:p>
    <w:p w:rsidR="00EF0553" w:rsidRPr="0039378D" w:rsidRDefault="00725645" w:rsidP="00EF0553">
      <w:pPr>
        <w:tabs>
          <w:tab w:val="left" w:pos="567"/>
        </w:tabs>
        <w:jc w:val="right"/>
        <w:rPr>
          <w:sz w:val="20"/>
          <w:szCs w:val="24"/>
        </w:rPr>
      </w:pPr>
      <w:r w:rsidRPr="0039378D">
        <w:rPr>
          <w:sz w:val="20"/>
          <w:szCs w:val="24"/>
        </w:rPr>
        <w:t>(т</w:t>
      </w:r>
      <w:r w:rsidR="00EF0553" w:rsidRPr="0039378D">
        <w:rPr>
          <w:sz w:val="20"/>
          <w:szCs w:val="24"/>
        </w:rPr>
        <w:t>ыс. руб.)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13"/>
        <w:gridCol w:w="1134"/>
        <w:gridCol w:w="1417"/>
        <w:gridCol w:w="1216"/>
      </w:tblGrid>
      <w:tr w:rsidR="00EF0553" w:rsidRPr="00A767CF" w:rsidTr="0039378D">
        <w:tc>
          <w:tcPr>
            <w:tcW w:w="1985" w:type="dxa"/>
            <w:vMerge w:val="restart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Наименование ГАДБ</w:t>
            </w:r>
          </w:p>
        </w:tc>
        <w:tc>
          <w:tcPr>
            <w:tcW w:w="4313" w:type="dxa"/>
            <w:vMerge w:val="restart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3767" w:type="dxa"/>
            <w:gridSpan w:val="3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Прогноз</w:t>
            </w:r>
          </w:p>
        </w:tc>
      </w:tr>
      <w:tr w:rsidR="00EF0553" w:rsidRPr="00A767CF" w:rsidTr="0039378D">
        <w:tc>
          <w:tcPr>
            <w:tcW w:w="1985" w:type="dxa"/>
            <w:vMerge/>
            <w:shd w:val="clear" w:color="auto" w:fill="auto"/>
            <w:vAlign w:val="center"/>
          </w:tcPr>
          <w:p w:rsidR="00EF0553" w:rsidRPr="00A767CF" w:rsidRDefault="00EF0553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13" w:type="dxa"/>
            <w:vMerge/>
            <w:shd w:val="clear" w:color="auto" w:fill="auto"/>
            <w:vAlign w:val="center"/>
          </w:tcPr>
          <w:p w:rsidR="00EF0553" w:rsidRPr="00A767CF" w:rsidRDefault="00EF0553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2022</w:t>
            </w:r>
            <w:r w:rsidR="00EF0553" w:rsidRPr="00B9084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2023</w:t>
            </w:r>
            <w:r w:rsidR="00EF0553" w:rsidRPr="00B9084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F0553" w:rsidRPr="00B9084A" w:rsidRDefault="00EF0553" w:rsidP="00B9084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202</w:t>
            </w:r>
            <w:r w:rsidR="00B9084A" w:rsidRPr="00B9084A">
              <w:rPr>
                <w:b/>
                <w:sz w:val="24"/>
                <w:szCs w:val="24"/>
              </w:rPr>
              <w:t>4</w:t>
            </w:r>
            <w:r w:rsidRPr="00B9084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F0553" w:rsidRPr="00A767CF" w:rsidTr="0039378D">
        <w:tc>
          <w:tcPr>
            <w:tcW w:w="1985" w:type="dxa"/>
            <w:vMerge w:val="restart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Администрация городского округа Кинешма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Плата по договорам на установку и эксплуатацию рекламной конструкции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936,9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936,9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936,9</w:t>
            </w:r>
          </w:p>
        </w:tc>
      </w:tr>
      <w:tr w:rsidR="00EF0553" w:rsidRPr="00A767CF" w:rsidTr="0039378D">
        <w:tc>
          <w:tcPr>
            <w:tcW w:w="1985" w:type="dxa"/>
            <w:vMerge/>
            <w:shd w:val="clear" w:color="auto" w:fill="auto"/>
            <w:vAlign w:val="center"/>
          </w:tcPr>
          <w:p w:rsidR="00EF0553" w:rsidRPr="00A767CF" w:rsidRDefault="00EF0553" w:rsidP="00EF0553">
            <w:pPr>
              <w:tabs>
                <w:tab w:val="left" w:pos="567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4313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 xml:space="preserve">Плата по договорам на размещение нестационарного объекта для осуществления торговли и оказания услуг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3 794,4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3 938,6</w:t>
            </w:r>
          </w:p>
        </w:tc>
      </w:tr>
      <w:tr w:rsidR="00EF0553" w:rsidRPr="00A767CF" w:rsidTr="0039378D">
        <w:tc>
          <w:tcPr>
            <w:tcW w:w="1985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Финансовое управление (МУ «Управление капитального строительства)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9084A">
              <w:rPr>
                <w:sz w:val="24"/>
                <w:szCs w:val="24"/>
              </w:rPr>
              <w:t>Доходы за счет взносов по ипотечному кредитованию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EF0553" w:rsidRPr="00A767CF" w:rsidTr="0039378D">
        <w:tc>
          <w:tcPr>
            <w:tcW w:w="1985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B9084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EF0553" w:rsidRPr="00B9084A" w:rsidRDefault="00EF0553" w:rsidP="00EF0553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4 769,8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F0553" w:rsidRPr="00B9084A" w:rsidRDefault="00B9084A" w:rsidP="00EF0553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4 883,9</w:t>
            </w:r>
          </w:p>
        </w:tc>
      </w:tr>
    </w:tbl>
    <w:p w:rsidR="00EF0553" w:rsidRPr="00A767CF" w:rsidRDefault="00EF0553" w:rsidP="00EF0553">
      <w:pPr>
        <w:tabs>
          <w:tab w:val="left" w:pos="567"/>
        </w:tabs>
        <w:jc w:val="both"/>
        <w:rPr>
          <w:highlight w:val="yellow"/>
        </w:rPr>
      </w:pPr>
    </w:p>
    <w:p w:rsidR="00EF0553" w:rsidRPr="00F77B5B" w:rsidRDefault="00EF0553" w:rsidP="00EF0553">
      <w:pPr>
        <w:jc w:val="center"/>
        <w:rPr>
          <w:rFonts w:eastAsia="Calibri"/>
          <w:b/>
          <w:snapToGrid/>
          <w:lang w:eastAsia="en-US"/>
        </w:rPr>
      </w:pPr>
      <w:r w:rsidRPr="00F77B5B">
        <w:rPr>
          <w:rFonts w:eastAsia="Calibri"/>
          <w:b/>
          <w:snapToGrid/>
          <w:lang w:eastAsia="en-US"/>
        </w:rPr>
        <w:t>Безвозмездные поступления на 202</w:t>
      </w:r>
      <w:r w:rsidR="00B9084A" w:rsidRPr="00F77B5B">
        <w:rPr>
          <w:rFonts w:eastAsia="Calibri"/>
          <w:b/>
          <w:snapToGrid/>
          <w:lang w:eastAsia="en-US"/>
        </w:rPr>
        <w:t>2</w:t>
      </w:r>
      <w:r w:rsidRPr="00F77B5B">
        <w:rPr>
          <w:rFonts w:eastAsia="Calibri"/>
          <w:b/>
          <w:snapToGrid/>
          <w:lang w:eastAsia="en-US"/>
        </w:rPr>
        <w:t>-202</w:t>
      </w:r>
      <w:r w:rsidR="00B9084A" w:rsidRPr="00F77B5B">
        <w:rPr>
          <w:rFonts w:eastAsia="Calibri"/>
          <w:b/>
          <w:snapToGrid/>
          <w:lang w:eastAsia="en-US"/>
        </w:rPr>
        <w:t>4</w:t>
      </w:r>
      <w:r w:rsidRPr="00F77B5B">
        <w:rPr>
          <w:rFonts w:eastAsia="Calibri"/>
          <w:b/>
          <w:snapToGrid/>
          <w:lang w:eastAsia="en-US"/>
        </w:rPr>
        <w:t xml:space="preserve"> годы</w:t>
      </w:r>
    </w:p>
    <w:p w:rsidR="00B9084A" w:rsidRPr="00A767CF" w:rsidRDefault="00B9084A" w:rsidP="00EF0553">
      <w:pPr>
        <w:jc w:val="center"/>
        <w:rPr>
          <w:rFonts w:eastAsia="Calibri"/>
          <w:b/>
          <w:snapToGrid/>
          <w:highlight w:val="yellow"/>
          <w:lang w:eastAsia="en-US"/>
        </w:rPr>
      </w:pPr>
    </w:p>
    <w:p w:rsidR="00EF0553" w:rsidRPr="00A767CF" w:rsidRDefault="00EF0553" w:rsidP="00EF0553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proofErr w:type="gramStart"/>
      <w:r w:rsidRPr="00B9084A">
        <w:t xml:space="preserve">Безвозмездные поступления из бюджета </w:t>
      </w:r>
      <w:r w:rsidR="00B9084A" w:rsidRPr="00B9084A">
        <w:t xml:space="preserve">Ивановской области </w:t>
      </w:r>
      <w:r w:rsidRPr="00B9084A">
        <w:t>в бюджет городского округа Кинешма на 202</w:t>
      </w:r>
      <w:r w:rsidR="00B9084A" w:rsidRPr="00B9084A">
        <w:t>2</w:t>
      </w:r>
      <w:r w:rsidRPr="00B9084A">
        <w:t xml:space="preserve"> - 202</w:t>
      </w:r>
      <w:r w:rsidR="00B9084A" w:rsidRPr="00B9084A">
        <w:t>4</w:t>
      </w:r>
      <w:r w:rsidRPr="00B9084A">
        <w:t xml:space="preserve"> год предусмотрены в соответствии с проектом Закона Ивановской области «</w:t>
      </w:r>
      <w:r w:rsidRPr="00B9084A">
        <w:rPr>
          <w:snapToGrid/>
        </w:rPr>
        <w:t>Об областном бюджете на 202</w:t>
      </w:r>
      <w:r w:rsidR="00B9084A" w:rsidRPr="00B9084A">
        <w:rPr>
          <w:snapToGrid/>
        </w:rPr>
        <w:t>2</w:t>
      </w:r>
      <w:r w:rsidRPr="00B9084A">
        <w:rPr>
          <w:snapToGrid/>
        </w:rPr>
        <w:t xml:space="preserve"> год и на </w:t>
      </w:r>
      <w:r w:rsidRPr="00B9084A">
        <w:rPr>
          <w:snapToGrid/>
        </w:rPr>
        <w:lastRenderedPageBreak/>
        <w:t>плановый период 202</w:t>
      </w:r>
      <w:r w:rsidR="00B9084A" w:rsidRPr="00B9084A">
        <w:rPr>
          <w:snapToGrid/>
        </w:rPr>
        <w:t>3</w:t>
      </w:r>
      <w:r w:rsidRPr="00B9084A">
        <w:rPr>
          <w:snapToGrid/>
        </w:rPr>
        <w:t xml:space="preserve"> и 202</w:t>
      </w:r>
      <w:r w:rsidR="00B9084A" w:rsidRPr="00B9084A">
        <w:rPr>
          <w:snapToGrid/>
        </w:rPr>
        <w:t>4</w:t>
      </w:r>
      <w:r w:rsidRPr="00B9084A">
        <w:rPr>
          <w:snapToGrid/>
        </w:rPr>
        <w:t xml:space="preserve"> годов</w:t>
      </w:r>
      <w:r w:rsidR="00251405">
        <w:t>», а также с учетом заключенных в 2021 году на 2022 год соглашений с профильными Департаментами.</w:t>
      </w:r>
      <w:proofErr w:type="gramEnd"/>
      <w:r w:rsidRPr="00B9084A">
        <w:t xml:space="preserve"> Данные о прогнозируемых объемах безвозмездных поступлений в бюджет городского округа Кинешма будут скорректированы впоследствии в соответствии с Законом Ивановской области об областном бюджете на период 202</w:t>
      </w:r>
      <w:r w:rsidR="00B9084A" w:rsidRPr="00B9084A">
        <w:t>2</w:t>
      </w:r>
      <w:r w:rsidRPr="00B9084A">
        <w:t>-202</w:t>
      </w:r>
      <w:r w:rsidR="00B9084A" w:rsidRPr="00B9084A">
        <w:t>4</w:t>
      </w:r>
      <w:r w:rsidR="00B9084A">
        <w:t xml:space="preserve"> гг. после его рассмотрения.</w:t>
      </w:r>
    </w:p>
    <w:p w:rsidR="00EF0553" w:rsidRPr="00B9084A" w:rsidRDefault="00EF0553" w:rsidP="00EF0553">
      <w:pPr>
        <w:autoSpaceDE w:val="0"/>
        <w:autoSpaceDN w:val="0"/>
        <w:adjustRightInd w:val="0"/>
        <w:ind w:firstLine="708"/>
        <w:jc w:val="both"/>
      </w:pPr>
      <w:r w:rsidRPr="00B9084A">
        <w:t>В первоначальной редакции проекта бюджета Ивановской области отсутствует распределение субсидий на укрепление материально-технической базы и проч</w:t>
      </w:r>
      <w:r w:rsidR="00581E5B">
        <w:t>их</w:t>
      </w:r>
      <w:r w:rsidR="00251405">
        <w:t xml:space="preserve"> субсидий и МБТ</w:t>
      </w:r>
      <w:r w:rsidRPr="00B9084A">
        <w:t>. Указанные средства отражаются в бюджете в процессе его корректировки в течение года.</w:t>
      </w:r>
    </w:p>
    <w:p w:rsidR="00EF0553" w:rsidRPr="004D4760" w:rsidRDefault="00EF0553" w:rsidP="00EF0553">
      <w:pPr>
        <w:autoSpaceDE w:val="0"/>
        <w:autoSpaceDN w:val="0"/>
        <w:adjustRightInd w:val="0"/>
        <w:ind w:firstLine="708"/>
        <w:jc w:val="both"/>
      </w:pPr>
      <w:r w:rsidRPr="004D4760">
        <w:t>В проекте закона об областном бюджете, подготовленном к первому чтению, не распределена между муниципалитетами региона дотация на выравнивание уровня бюджетной обеспеченности. На 202</w:t>
      </w:r>
      <w:r w:rsidR="00B9084A" w:rsidRPr="004D4760">
        <w:t>2</w:t>
      </w:r>
      <w:r w:rsidRPr="004D4760">
        <w:t xml:space="preserve"> год с целью обеспечения сбалансированности в проекте бюджета городского округа Кинешма дотация запланирована на уровне 202</w:t>
      </w:r>
      <w:r w:rsidR="00B9084A" w:rsidRPr="004D4760">
        <w:t>1</w:t>
      </w:r>
      <w:r w:rsidRPr="004D4760">
        <w:t xml:space="preserve"> года</w:t>
      </w:r>
      <w:r w:rsidR="00B9084A" w:rsidRPr="004D4760">
        <w:t>, на 2023-2024 год</w:t>
      </w:r>
      <w:r w:rsidR="004D4760">
        <w:t>ы в размере 70% от уровня 2021 года</w:t>
      </w:r>
      <w:r w:rsidRPr="004D4760">
        <w:t>.</w:t>
      </w:r>
    </w:p>
    <w:p w:rsidR="00EF0553" w:rsidRPr="00A767CF" w:rsidRDefault="00EF0553" w:rsidP="00EF0553">
      <w:pPr>
        <w:jc w:val="center"/>
        <w:rPr>
          <w:rFonts w:eastAsia="Calibri"/>
          <w:snapToGrid/>
          <w:highlight w:val="yellow"/>
          <w:lang w:eastAsia="en-US"/>
        </w:rPr>
      </w:pPr>
    </w:p>
    <w:p w:rsidR="00EF0553" w:rsidRPr="004D4760" w:rsidRDefault="00EF0553" w:rsidP="00EF0553">
      <w:pPr>
        <w:jc w:val="center"/>
        <w:rPr>
          <w:b/>
        </w:rPr>
      </w:pPr>
      <w:r w:rsidRPr="004D4760">
        <w:rPr>
          <w:b/>
        </w:rPr>
        <w:t>Данные о безвозмездных поступлениях на 202</w:t>
      </w:r>
      <w:r w:rsidR="004D4760" w:rsidRPr="004D4760">
        <w:rPr>
          <w:b/>
        </w:rPr>
        <w:t>2</w:t>
      </w:r>
      <w:r w:rsidRPr="004D4760">
        <w:rPr>
          <w:b/>
        </w:rPr>
        <w:t>-202</w:t>
      </w:r>
      <w:r w:rsidR="004D4760" w:rsidRPr="004D4760">
        <w:rPr>
          <w:b/>
        </w:rPr>
        <w:t>4</w:t>
      </w:r>
      <w:r w:rsidRPr="004D4760">
        <w:rPr>
          <w:b/>
        </w:rPr>
        <w:t xml:space="preserve"> годы</w:t>
      </w:r>
    </w:p>
    <w:p w:rsidR="004D4760" w:rsidRPr="004D4760" w:rsidRDefault="004D4760" w:rsidP="00EF0553">
      <w:pPr>
        <w:jc w:val="center"/>
        <w:rPr>
          <w:b/>
        </w:rPr>
      </w:pPr>
    </w:p>
    <w:p w:rsidR="00EF0553" w:rsidRPr="004D4760" w:rsidRDefault="00EF0553" w:rsidP="00EF0553">
      <w:pPr>
        <w:jc w:val="right"/>
        <w:rPr>
          <w:sz w:val="24"/>
          <w:szCs w:val="24"/>
        </w:rPr>
      </w:pPr>
      <w:r w:rsidRPr="004D4760">
        <w:rPr>
          <w:sz w:val="24"/>
          <w:szCs w:val="24"/>
        </w:rPr>
        <w:t>(тыс. руб.)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794"/>
        <w:gridCol w:w="1728"/>
        <w:gridCol w:w="1417"/>
        <w:gridCol w:w="1418"/>
        <w:gridCol w:w="1417"/>
      </w:tblGrid>
      <w:tr w:rsidR="00EF0553" w:rsidRPr="00A767CF" w:rsidTr="00033DDB">
        <w:trPr>
          <w:trHeight w:val="1241"/>
        </w:trPr>
        <w:tc>
          <w:tcPr>
            <w:tcW w:w="3794" w:type="dxa"/>
            <w:vMerge w:val="restart"/>
            <w:shd w:val="clear" w:color="auto" w:fill="FFFFFF"/>
            <w:vAlign w:val="center"/>
          </w:tcPr>
          <w:p w:rsidR="00EF0553" w:rsidRPr="004D4760" w:rsidRDefault="00EF0553" w:rsidP="00EF0553">
            <w:pPr>
              <w:rPr>
                <w:sz w:val="24"/>
                <w:szCs w:val="24"/>
              </w:rPr>
            </w:pPr>
          </w:p>
          <w:p w:rsidR="00EF0553" w:rsidRPr="004D4760" w:rsidRDefault="00EF0553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28" w:type="dxa"/>
            <w:vMerge w:val="restart"/>
            <w:shd w:val="clear" w:color="auto" w:fill="FFFFFF"/>
            <w:vAlign w:val="bottom"/>
          </w:tcPr>
          <w:p w:rsidR="00EF0553" w:rsidRPr="004D4760" w:rsidRDefault="004D4760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2021</w:t>
            </w:r>
            <w:r w:rsidR="00EF0553" w:rsidRPr="004D4760">
              <w:rPr>
                <w:sz w:val="24"/>
                <w:szCs w:val="24"/>
              </w:rPr>
              <w:t xml:space="preserve"> год</w:t>
            </w:r>
          </w:p>
          <w:p w:rsidR="00EF0553" w:rsidRPr="004D4760" w:rsidRDefault="00EF0553" w:rsidP="004D4760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утверждено (по состоянию на 01.1</w:t>
            </w:r>
            <w:r w:rsidR="004D4760" w:rsidRPr="004D4760">
              <w:rPr>
                <w:sz w:val="24"/>
                <w:szCs w:val="24"/>
              </w:rPr>
              <w:t>0</w:t>
            </w:r>
            <w:r w:rsidRPr="004D4760">
              <w:rPr>
                <w:sz w:val="24"/>
                <w:szCs w:val="24"/>
              </w:rPr>
              <w:t>.202</w:t>
            </w:r>
            <w:r w:rsidR="004D4760" w:rsidRPr="004D4760">
              <w:rPr>
                <w:sz w:val="24"/>
                <w:szCs w:val="24"/>
              </w:rPr>
              <w:t>1</w:t>
            </w:r>
            <w:r w:rsidRPr="004D4760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3"/>
            <w:shd w:val="clear" w:color="auto" w:fill="FFFFFF"/>
            <w:vAlign w:val="bottom"/>
          </w:tcPr>
          <w:p w:rsidR="00EF0553" w:rsidRPr="004D4760" w:rsidRDefault="00EF0553" w:rsidP="004D47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 xml:space="preserve">Предусмотрено проектом Закона Ивановской области </w:t>
            </w:r>
            <w:r w:rsidRPr="004D4760">
              <w:rPr>
                <w:snapToGrid/>
                <w:sz w:val="24"/>
                <w:szCs w:val="24"/>
              </w:rPr>
              <w:t>«Об областном бюджете на 202</w:t>
            </w:r>
            <w:r w:rsidR="004D4760" w:rsidRPr="004D4760">
              <w:rPr>
                <w:snapToGrid/>
                <w:sz w:val="24"/>
                <w:szCs w:val="24"/>
              </w:rPr>
              <w:t>2</w:t>
            </w:r>
            <w:r w:rsidRPr="004D4760">
              <w:rPr>
                <w:snapToGrid/>
                <w:sz w:val="24"/>
                <w:szCs w:val="24"/>
              </w:rPr>
              <w:t xml:space="preserve"> год</w:t>
            </w:r>
            <w:r w:rsidRPr="004D4760">
              <w:t xml:space="preserve"> </w:t>
            </w:r>
            <w:r w:rsidRPr="004D4760">
              <w:rPr>
                <w:snapToGrid/>
                <w:sz w:val="24"/>
                <w:szCs w:val="24"/>
              </w:rPr>
              <w:t>и на плановый период 202</w:t>
            </w:r>
            <w:r w:rsidR="004D4760" w:rsidRPr="004D4760">
              <w:rPr>
                <w:snapToGrid/>
                <w:sz w:val="24"/>
                <w:szCs w:val="24"/>
              </w:rPr>
              <w:t>3</w:t>
            </w:r>
            <w:r w:rsidRPr="004D4760">
              <w:rPr>
                <w:snapToGrid/>
                <w:sz w:val="24"/>
                <w:szCs w:val="24"/>
              </w:rPr>
              <w:t xml:space="preserve"> и 202</w:t>
            </w:r>
            <w:r w:rsidR="004D4760" w:rsidRPr="004D4760">
              <w:rPr>
                <w:snapToGrid/>
                <w:sz w:val="24"/>
                <w:szCs w:val="24"/>
              </w:rPr>
              <w:t>4</w:t>
            </w:r>
            <w:r w:rsidRPr="004D4760">
              <w:rPr>
                <w:snapToGrid/>
                <w:sz w:val="24"/>
                <w:szCs w:val="24"/>
              </w:rPr>
              <w:t xml:space="preserve"> годов» </w:t>
            </w:r>
          </w:p>
        </w:tc>
      </w:tr>
      <w:tr w:rsidR="00EF0553" w:rsidRPr="00A767CF" w:rsidTr="00033DDB">
        <w:trPr>
          <w:trHeight w:val="60"/>
        </w:trPr>
        <w:tc>
          <w:tcPr>
            <w:tcW w:w="3794" w:type="dxa"/>
            <w:vMerge/>
            <w:shd w:val="clear" w:color="auto" w:fill="FFFFFF"/>
            <w:vAlign w:val="center"/>
          </w:tcPr>
          <w:p w:rsidR="00EF0553" w:rsidRPr="00A767CF" w:rsidRDefault="00EF0553" w:rsidP="00EF05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  <w:vMerge/>
            <w:shd w:val="clear" w:color="auto" w:fill="FFFFFF"/>
          </w:tcPr>
          <w:p w:rsidR="00EF0553" w:rsidRPr="00A767CF" w:rsidRDefault="00EF0553" w:rsidP="00EF055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4D4760" w:rsidRDefault="00EF0553" w:rsidP="004D4760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202</w:t>
            </w:r>
            <w:r w:rsidR="004D4760" w:rsidRPr="004D4760">
              <w:rPr>
                <w:sz w:val="24"/>
                <w:szCs w:val="24"/>
              </w:rPr>
              <w:t>2</w:t>
            </w:r>
            <w:r w:rsidRPr="004D476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4D4760" w:rsidRDefault="00EF0553" w:rsidP="004D4760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202</w:t>
            </w:r>
            <w:r w:rsidR="004D4760" w:rsidRPr="004D4760">
              <w:rPr>
                <w:sz w:val="24"/>
                <w:szCs w:val="24"/>
              </w:rPr>
              <w:t>3</w:t>
            </w:r>
            <w:r w:rsidRPr="004D476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4D4760" w:rsidRDefault="00EF0553" w:rsidP="004D4760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202</w:t>
            </w:r>
            <w:r w:rsidR="004D4760" w:rsidRPr="004D4760">
              <w:rPr>
                <w:sz w:val="24"/>
                <w:szCs w:val="24"/>
              </w:rPr>
              <w:t>4</w:t>
            </w:r>
            <w:r w:rsidRPr="004D4760">
              <w:rPr>
                <w:sz w:val="24"/>
                <w:szCs w:val="24"/>
              </w:rPr>
              <w:t xml:space="preserve"> год</w:t>
            </w: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rPr>
                <w:b/>
                <w:sz w:val="24"/>
                <w:szCs w:val="24"/>
              </w:rPr>
            </w:pPr>
            <w:r w:rsidRPr="004D4760">
              <w:rPr>
                <w:b/>
                <w:sz w:val="24"/>
                <w:szCs w:val="24"/>
              </w:rPr>
              <w:t>Безвозмездные поступления, всего: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EF0553">
            <w:pPr>
              <w:jc w:val="center"/>
              <w:rPr>
                <w:b/>
                <w:sz w:val="24"/>
                <w:szCs w:val="24"/>
              </w:rPr>
            </w:pPr>
            <w:r w:rsidRPr="004D4760">
              <w:rPr>
                <w:b/>
                <w:sz w:val="24"/>
                <w:szCs w:val="24"/>
              </w:rPr>
              <w:t>1 974 282,9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3A3099" w:rsidP="00EF0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2 162 927,4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3A3099" w:rsidRDefault="003A3099" w:rsidP="00EF055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A3099">
              <w:rPr>
                <w:b/>
                <w:sz w:val="24"/>
                <w:szCs w:val="24"/>
              </w:rPr>
              <w:t>1 058 271,1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3A3099" w:rsidRDefault="002C2E37" w:rsidP="00EF055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C2E37">
              <w:rPr>
                <w:b/>
                <w:sz w:val="24"/>
                <w:szCs w:val="24"/>
              </w:rPr>
              <w:t>695 852,4</w:t>
            </w: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EF0553" w:rsidP="00EF0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rPr>
                <w:b/>
                <w:sz w:val="24"/>
                <w:szCs w:val="24"/>
              </w:rPr>
            </w:pPr>
            <w:r w:rsidRPr="004D4760">
              <w:rPr>
                <w:b/>
                <w:sz w:val="24"/>
                <w:szCs w:val="24"/>
              </w:rPr>
              <w:t>Дотации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375 731,5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50437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387 465,4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50437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206 646,9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50437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206 646,9</w:t>
            </w: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rPr>
                <w:b/>
                <w:sz w:val="24"/>
                <w:szCs w:val="24"/>
              </w:rPr>
            </w:pPr>
            <w:r w:rsidRPr="004D4760">
              <w:rPr>
                <w:b/>
                <w:sz w:val="24"/>
                <w:szCs w:val="24"/>
              </w:rPr>
              <w:t>Субсидии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948 221,0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50437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1 236 271,7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50437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346 090,4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2C2E37" w:rsidP="00504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12 409,0</w:t>
            </w: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rPr>
                <w:b/>
                <w:sz w:val="24"/>
                <w:szCs w:val="24"/>
              </w:rPr>
            </w:pPr>
            <w:r w:rsidRPr="004D4760"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476 238,7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3A3099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513 645,1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3A3099" w:rsidP="003A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479 988,6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2C2E37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476 796,5</w:t>
            </w:r>
          </w:p>
        </w:tc>
      </w:tr>
      <w:tr w:rsidR="00EF0553" w:rsidRPr="00A767CF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D4760">
              <w:rPr>
                <w:b/>
                <w:snapToGrid/>
                <w:sz w:val="24"/>
                <w:szCs w:val="24"/>
              </w:rPr>
              <w:t>Иные межбюджетные трансферты и безвозмездные поступления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4D4760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175 068,8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3A3099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25 545,2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3A3099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25 545,2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3A3099" w:rsidP="00EF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0553" w:rsidRPr="00EF0553" w:rsidTr="004D4760">
        <w:tc>
          <w:tcPr>
            <w:tcW w:w="3794" w:type="dxa"/>
            <w:shd w:val="clear" w:color="auto" w:fill="auto"/>
            <w:vAlign w:val="center"/>
          </w:tcPr>
          <w:p w:rsidR="00EF0553" w:rsidRPr="004D4760" w:rsidRDefault="00EF0553" w:rsidP="00EF0553">
            <w:pPr>
              <w:autoSpaceDE w:val="0"/>
              <w:autoSpaceDN w:val="0"/>
              <w:adjustRightInd w:val="0"/>
              <w:jc w:val="both"/>
              <w:rPr>
                <w:b/>
                <w:snapToGrid/>
                <w:sz w:val="24"/>
                <w:szCs w:val="24"/>
              </w:rPr>
            </w:pPr>
            <w:r w:rsidRPr="004D4760">
              <w:rPr>
                <w:b/>
                <w:snapToGrid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F0553" w:rsidRPr="004D4760" w:rsidRDefault="004D4760" w:rsidP="00EF0553">
            <w:pPr>
              <w:jc w:val="center"/>
              <w:rPr>
                <w:sz w:val="24"/>
                <w:szCs w:val="24"/>
              </w:rPr>
            </w:pPr>
            <w:r w:rsidRPr="004D4760">
              <w:rPr>
                <w:sz w:val="24"/>
                <w:szCs w:val="24"/>
              </w:rPr>
              <w:t>-977,1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0553" w:rsidRPr="00ED790E" w:rsidRDefault="00EF0553" w:rsidP="00EF0553">
            <w:pPr>
              <w:jc w:val="center"/>
              <w:rPr>
                <w:sz w:val="24"/>
                <w:szCs w:val="24"/>
              </w:rPr>
            </w:pPr>
            <w:r w:rsidRPr="00ED790E">
              <w:rPr>
                <w:sz w:val="24"/>
                <w:szCs w:val="24"/>
              </w:rPr>
              <w:t>0,0</w:t>
            </w:r>
          </w:p>
        </w:tc>
      </w:tr>
    </w:tbl>
    <w:p w:rsidR="00947132" w:rsidRDefault="00947132" w:rsidP="00B21384">
      <w:pPr>
        <w:spacing w:after="200" w:line="276" w:lineRule="auto"/>
        <w:jc w:val="center"/>
        <w:rPr>
          <w:b/>
        </w:rPr>
      </w:pPr>
    </w:p>
    <w:p w:rsidR="004B16E1" w:rsidRDefault="004B16E1" w:rsidP="00B21384">
      <w:pPr>
        <w:spacing w:after="200" w:line="276" w:lineRule="auto"/>
        <w:jc w:val="center"/>
        <w:rPr>
          <w:b/>
        </w:rPr>
      </w:pPr>
    </w:p>
    <w:p w:rsidR="004B16E1" w:rsidRDefault="004B16E1" w:rsidP="00B21384">
      <w:pPr>
        <w:spacing w:after="200" w:line="276" w:lineRule="auto"/>
        <w:jc w:val="center"/>
        <w:rPr>
          <w:b/>
        </w:rPr>
      </w:pPr>
    </w:p>
    <w:p w:rsidR="004B16E1" w:rsidRDefault="004B16E1" w:rsidP="00B21384">
      <w:pPr>
        <w:spacing w:after="200" w:line="276" w:lineRule="auto"/>
        <w:jc w:val="center"/>
        <w:rPr>
          <w:b/>
        </w:rPr>
      </w:pPr>
    </w:p>
    <w:p w:rsidR="004B16E1" w:rsidRDefault="004B16E1" w:rsidP="00B21384">
      <w:pPr>
        <w:spacing w:after="200" w:line="276" w:lineRule="auto"/>
        <w:jc w:val="center"/>
        <w:rPr>
          <w:b/>
        </w:rPr>
      </w:pPr>
    </w:p>
    <w:p w:rsidR="00AF2F1E" w:rsidRPr="00AF2F1E" w:rsidRDefault="000C5FE8" w:rsidP="00B21384">
      <w:pPr>
        <w:spacing w:after="200" w:line="276" w:lineRule="auto"/>
        <w:jc w:val="center"/>
      </w:pPr>
      <w:r>
        <w:rPr>
          <w:b/>
        </w:rPr>
        <w:lastRenderedPageBreak/>
        <w:t>Рас</w:t>
      </w:r>
      <w:r w:rsidR="004E29BC" w:rsidRPr="00054E66">
        <w:rPr>
          <w:b/>
        </w:rPr>
        <w:t>ходы</w:t>
      </w:r>
      <w:r w:rsidR="00346451" w:rsidRPr="00BF3562">
        <w:rPr>
          <w:color w:val="FF0000"/>
        </w:rPr>
        <w:tab/>
      </w:r>
    </w:p>
    <w:p w:rsidR="002911F8" w:rsidRPr="002911F8" w:rsidRDefault="00AF2F1E" w:rsidP="00291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ab/>
      </w:r>
      <w:r w:rsidR="00055EC3">
        <w:rPr>
          <w:rFonts w:ascii="Times New Roman" w:hAnsi="Times New Roman" w:cs="Times New Roman"/>
          <w:sz w:val="28"/>
          <w:szCs w:val="28"/>
        </w:rPr>
        <w:t>Б</w:t>
      </w:r>
      <w:r w:rsidR="00055EC3" w:rsidRPr="002911F8">
        <w:rPr>
          <w:rFonts w:ascii="Times New Roman" w:hAnsi="Times New Roman" w:cs="Times New Roman"/>
          <w:sz w:val="28"/>
          <w:szCs w:val="28"/>
        </w:rPr>
        <w:t xml:space="preserve">азовым инструментом </w:t>
      </w:r>
      <w:r w:rsidR="00055EC3">
        <w:rPr>
          <w:rFonts w:ascii="Times New Roman" w:hAnsi="Times New Roman" w:cs="Times New Roman"/>
          <w:sz w:val="28"/>
          <w:szCs w:val="28"/>
        </w:rPr>
        <w:t>для п</w:t>
      </w:r>
      <w:r w:rsidR="002911F8" w:rsidRPr="002911F8">
        <w:rPr>
          <w:rFonts w:ascii="Times New Roman" w:hAnsi="Times New Roman" w:cs="Times New Roman"/>
          <w:sz w:val="28"/>
          <w:szCs w:val="28"/>
        </w:rPr>
        <w:t>ланировани</w:t>
      </w:r>
      <w:r w:rsidR="00055EC3">
        <w:rPr>
          <w:rFonts w:ascii="Times New Roman" w:hAnsi="Times New Roman" w:cs="Times New Roman"/>
          <w:sz w:val="28"/>
          <w:szCs w:val="28"/>
        </w:rPr>
        <w:t>я</w:t>
      </w:r>
      <w:r w:rsidR="002911F8" w:rsidRPr="002911F8">
        <w:rPr>
          <w:rFonts w:ascii="Times New Roman" w:hAnsi="Times New Roman" w:cs="Times New Roman"/>
          <w:sz w:val="28"/>
          <w:szCs w:val="28"/>
        </w:rPr>
        <w:t xml:space="preserve"> расходов и действующих расходных обязательств бюджета городского округа Кинешма на предстоящую трехлетку являются финансовые показатели текущего </w:t>
      </w:r>
      <w:r w:rsidR="00055EC3">
        <w:rPr>
          <w:rFonts w:ascii="Times New Roman" w:hAnsi="Times New Roman" w:cs="Times New Roman"/>
          <w:sz w:val="28"/>
          <w:szCs w:val="28"/>
        </w:rPr>
        <w:t>года.</w:t>
      </w:r>
    </w:p>
    <w:p w:rsidR="00C764DB" w:rsidRPr="00BD4EC4" w:rsidRDefault="002911F8" w:rsidP="00C764DB">
      <w:pPr>
        <w:tabs>
          <w:tab w:val="num" w:pos="709"/>
        </w:tabs>
        <w:jc w:val="both"/>
      </w:pPr>
      <w:r>
        <w:tab/>
      </w:r>
      <w:r w:rsidR="00C764DB" w:rsidRPr="00BD4EC4">
        <w:t>Планируемы</w:t>
      </w:r>
      <w:r>
        <w:t>е</w:t>
      </w:r>
      <w:r w:rsidR="00C764DB" w:rsidRPr="00BD4EC4">
        <w:t xml:space="preserve"> объем</w:t>
      </w:r>
      <w:r>
        <w:t>ы</w:t>
      </w:r>
      <w:r w:rsidR="00C764DB" w:rsidRPr="00BD4EC4">
        <w:t xml:space="preserve"> расходов</w:t>
      </w:r>
      <w:r w:rsidR="004B16E1">
        <w:t xml:space="preserve"> составил</w:t>
      </w:r>
      <w:r>
        <w:t>и</w:t>
      </w:r>
      <w:r w:rsidR="00C764DB" w:rsidRPr="00BD4EC4">
        <w:t>:</w:t>
      </w:r>
    </w:p>
    <w:p w:rsidR="00C764DB" w:rsidRPr="009D4303" w:rsidRDefault="00C764DB" w:rsidP="00C764DB">
      <w:pPr>
        <w:tabs>
          <w:tab w:val="num" w:pos="709"/>
        </w:tabs>
        <w:jc w:val="both"/>
      </w:pPr>
      <w:r w:rsidRPr="009D4303">
        <w:t>202</w:t>
      </w:r>
      <w:r>
        <w:t>2</w:t>
      </w:r>
      <w:r w:rsidRPr="009D4303">
        <w:t xml:space="preserve"> год –</w:t>
      </w:r>
      <w:r>
        <w:t xml:space="preserve"> </w:t>
      </w:r>
      <w:r w:rsidR="008E3934">
        <w:t xml:space="preserve">2 616 191,1 </w:t>
      </w:r>
      <w:r w:rsidRPr="009D4303">
        <w:t>тыс. руб.,</w:t>
      </w:r>
    </w:p>
    <w:p w:rsidR="00C764DB" w:rsidRPr="009D4303" w:rsidRDefault="00C764DB" w:rsidP="00C764DB">
      <w:pPr>
        <w:tabs>
          <w:tab w:val="num" w:pos="709"/>
        </w:tabs>
        <w:jc w:val="both"/>
      </w:pPr>
      <w:r w:rsidRPr="009D4303">
        <w:t>202</w:t>
      </w:r>
      <w:r>
        <w:t>3</w:t>
      </w:r>
      <w:r w:rsidRPr="009D4303">
        <w:t xml:space="preserve"> год –</w:t>
      </w:r>
      <w:r>
        <w:t xml:space="preserve"> </w:t>
      </w:r>
      <w:r w:rsidR="008E3934">
        <w:t xml:space="preserve">1 418 275,3 </w:t>
      </w:r>
      <w:r w:rsidRPr="009D4303">
        <w:t>тыс. руб.,</w:t>
      </w:r>
    </w:p>
    <w:p w:rsidR="00C764DB" w:rsidRPr="009D4303" w:rsidRDefault="00C764DB" w:rsidP="00C764DB">
      <w:pPr>
        <w:tabs>
          <w:tab w:val="num" w:pos="709"/>
        </w:tabs>
        <w:jc w:val="both"/>
      </w:pPr>
      <w:r w:rsidRPr="009D4303">
        <w:t>202</w:t>
      </w:r>
      <w:r>
        <w:t>4</w:t>
      </w:r>
      <w:r w:rsidRPr="009D4303">
        <w:t xml:space="preserve"> год – </w:t>
      </w:r>
      <w:r w:rsidR="008E3934">
        <w:t xml:space="preserve">1 060 985,5 </w:t>
      </w:r>
      <w:r w:rsidRPr="009D4303">
        <w:t>тыс. руб.</w:t>
      </w:r>
    </w:p>
    <w:p w:rsidR="00C764DB" w:rsidRDefault="00C764DB" w:rsidP="00C764DB">
      <w:pPr>
        <w:pStyle w:val="ab"/>
        <w:spacing w:after="0"/>
        <w:ind w:left="0" w:firstLine="283"/>
        <w:jc w:val="both"/>
      </w:pPr>
      <w:r>
        <w:tab/>
      </w:r>
      <w:r w:rsidRPr="001209B8">
        <w:t>Средства областного бюджета предусмотрены в соответствии с проектом Закона Ивановской области  «Об областном бюджете на 202</w:t>
      </w:r>
      <w:r>
        <w:t>2</w:t>
      </w:r>
      <w:r w:rsidRPr="001209B8">
        <w:t xml:space="preserve"> год и на плановый период</w:t>
      </w:r>
      <w:r>
        <w:t xml:space="preserve"> 2023 и 2024 годов</w:t>
      </w:r>
      <w:r w:rsidRPr="001209B8">
        <w:t>».</w:t>
      </w:r>
    </w:p>
    <w:p w:rsidR="00C764DB" w:rsidRDefault="00C764DB" w:rsidP="009C4D49">
      <w:pPr>
        <w:tabs>
          <w:tab w:val="num" w:pos="709"/>
        </w:tabs>
        <w:jc w:val="both"/>
      </w:pPr>
    </w:p>
    <w:p w:rsidR="004E29BC" w:rsidRPr="002911F8" w:rsidRDefault="004E29BC" w:rsidP="00ED790E">
      <w:pPr>
        <w:jc w:val="center"/>
        <w:rPr>
          <w:b/>
        </w:rPr>
      </w:pPr>
      <w:r w:rsidRPr="002911F8">
        <w:rPr>
          <w:b/>
        </w:rPr>
        <w:t xml:space="preserve">Программная структура расходов </w:t>
      </w:r>
      <w:r w:rsidR="003D5538" w:rsidRPr="002911F8">
        <w:rPr>
          <w:b/>
        </w:rPr>
        <w:t xml:space="preserve">проекта </w:t>
      </w:r>
      <w:r w:rsidRPr="002911F8">
        <w:rPr>
          <w:b/>
        </w:rPr>
        <w:t xml:space="preserve">бюджета городского округа Кинешма </w:t>
      </w:r>
      <w:r w:rsidR="003D5538" w:rsidRPr="002911F8">
        <w:rPr>
          <w:b/>
        </w:rPr>
        <w:t xml:space="preserve"> </w:t>
      </w:r>
      <w:r w:rsidRPr="002911F8">
        <w:rPr>
          <w:b/>
        </w:rPr>
        <w:t xml:space="preserve">на </w:t>
      </w:r>
      <w:r w:rsidR="00C92CA1" w:rsidRPr="002911F8">
        <w:rPr>
          <w:b/>
        </w:rPr>
        <w:t>20</w:t>
      </w:r>
      <w:r w:rsidR="009C4D49" w:rsidRPr="002911F8">
        <w:rPr>
          <w:b/>
        </w:rPr>
        <w:t>2</w:t>
      </w:r>
      <w:r w:rsidR="00B66FA3" w:rsidRPr="002911F8">
        <w:rPr>
          <w:b/>
        </w:rPr>
        <w:t>2</w:t>
      </w:r>
      <w:r w:rsidR="00C92CA1" w:rsidRPr="002911F8">
        <w:rPr>
          <w:b/>
        </w:rPr>
        <w:t xml:space="preserve"> и плановый период 20</w:t>
      </w:r>
      <w:r w:rsidR="004E1659" w:rsidRPr="002911F8">
        <w:rPr>
          <w:b/>
        </w:rPr>
        <w:t>2</w:t>
      </w:r>
      <w:r w:rsidR="00B66FA3" w:rsidRPr="002911F8">
        <w:rPr>
          <w:b/>
        </w:rPr>
        <w:t>3</w:t>
      </w:r>
      <w:r w:rsidR="00C92CA1" w:rsidRPr="002911F8">
        <w:rPr>
          <w:b/>
        </w:rPr>
        <w:t xml:space="preserve"> и 20</w:t>
      </w:r>
      <w:r w:rsidR="00366AAD" w:rsidRPr="002911F8">
        <w:rPr>
          <w:b/>
        </w:rPr>
        <w:t>2</w:t>
      </w:r>
      <w:r w:rsidR="00B66FA3" w:rsidRPr="002911F8">
        <w:rPr>
          <w:b/>
        </w:rPr>
        <w:t>4</w:t>
      </w:r>
      <w:r w:rsidR="00C92CA1" w:rsidRPr="002911F8">
        <w:rPr>
          <w:b/>
        </w:rPr>
        <w:t xml:space="preserve"> годов</w:t>
      </w:r>
    </w:p>
    <w:p w:rsidR="00ED790E" w:rsidRPr="002911F8" w:rsidRDefault="00ED790E" w:rsidP="00ED790E">
      <w:pPr>
        <w:jc w:val="center"/>
        <w:rPr>
          <w:b/>
        </w:rPr>
      </w:pPr>
    </w:p>
    <w:p w:rsidR="002911F8" w:rsidRDefault="004E29BC" w:rsidP="004E29BC">
      <w:pPr>
        <w:ind w:firstLine="708"/>
        <w:jc w:val="both"/>
      </w:pPr>
      <w:r w:rsidRPr="002911F8">
        <w:rPr>
          <w:rFonts w:eastAsia="Calibri"/>
          <w:bCs/>
          <w:lang w:eastAsia="en-US"/>
        </w:rPr>
        <w:t xml:space="preserve">Перечень муниципальных программ </w:t>
      </w:r>
      <w:r w:rsidR="004E1659" w:rsidRPr="002911F8">
        <w:rPr>
          <w:rFonts w:eastAsia="Calibri"/>
          <w:bCs/>
          <w:lang w:eastAsia="en-US"/>
        </w:rPr>
        <w:t xml:space="preserve"> </w:t>
      </w:r>
      <w:r w:rsidRPr="002911F8">
        <w:rPr>
          <w:rFonts w:eastAsia="Calibri"/>
          <w:bCs/>
          <w:lang w:eastAsia="en-US"/>
        </w:rPr>
        <w:t xml:space="preserve">городского округа Кинешма утвержден </w:t>
      </w:r>
      <w:r w:rsidRPr="002911F8">
        <w:t xml:space="preserve">постановлением администрации городского округа Кинешма от </w:t>
      </w:r>
      <w:r w:rsidR="0015733A" w:rsidRPr="002911F8">
        <w:t>06.11.2018</w:t>
      </w:r>
      <w:r w:rsidRPr="002911F8">
        <w:t xml:space="preserve"> № 1</w:t>
      </w:r>
      <w:r w:rsidR="0015733A" w:rsidRPr="002911F8">
        <w:t>401</w:t>
      </w:r>
      <w:r w:rsidRPr="002911F8">
        <w:t>п «Об утверждении перечня муниципальных программ городского округа Кинешма»</w:t>
      </w:r>
      <w:r w:rsidR="004B16E1" w:rsidRPr="002911F8">
        <w:t xml:space="preserve">. </w:t>
      </w:r>
    </w:p>
    <w:p w:rsidR="00415A21" w:rsidRPr="002911F8" w:rsidRDefault="004B16E1" w:rsidP="004E29BC">
      <w:pPr>
        <w:ind w:firstLine="708"/>
        <w:jc w:val="both"/>
      </w:pPr>
      <w:r w:rsidRPr="002911F8">
        <w:t xml:space="preserve">16 </w:t>
      </w:r>
      <w:r w:rsidR="002911F8" w:rsidRPr="002911F8">
        <w:t xml:space="preserve">муниципальных </w:t>
      </w:r>
      <w:r w:rsidRPr="002911F8">
        <w:t>программ планируется</w:t>
      </w:r>
      <w:r w:rsidR="00055EC3">
        <w:t xml:space="preserve"> к реализации в 2022-2023 </w:t>
      </w:r>
      <w:proofErr w:type="gramStart"/>
      <w:r w:rsidR="00055EC3">
        <w:t>годах</w:t>
      </w:r>
      <w:proofErr w:type="gramEnd"/>
      <w:r w:rsidR="00055EC3">
        <w:t xml:space="preserve"> и характеризуются следующими </w:t>
      </w:r>
      <w:r w:rsidR="00791D89">
        <w:t>показателями</w:t>
      </w:r>
      <w:r w:rsidR="00055EC3">
        <w:t>:</w:t>
      </w:r>
    </w:p>
    <w:p w:rsidR="00415A21" w:rsidRPr="002911F8" w:rsidRDefault="00415A21" w:rsidP="00415A21">
      <w:pPr>
        <w:ind w:firstLine="708"/>
        <w:jc w:val="right"/>
      </w:pPr>
      <w:r w:rsidRPr="002911F8">
        <w:t>(тыс. 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485"/>
        <w:gridCol w:w="1418"/>
        <w:gridCol w:w="1349"/>
      </w:tblGrid>
      <w:tr w:rsidR="002911F8" w:rsidRPr="002911F8" w:rsidTr="002911F8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2911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2911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2911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2911F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951 257,19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758 114,63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705 144,48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"Культура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71 704,76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42 630,03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42 864,72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"Развитие физической культуры и спорта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33 723,34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23 851,16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23 853,78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"Реализация социальной и молодежной политики в городском округе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11 925,90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8 342,18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8 366,21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"Обеспечение качественным жильем, услугами жилищно-коммунального хозяйства населения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133 718,71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104 542,84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11 808,30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"Развитие транспортной системы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109 053,30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86 539,19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66 613,77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"Поддержка и развитие малого предпринимательства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"Защита населения и территорий от чрезвычайных ситуаций, обеспечение пожарной </w:t>
            </w:r>
            <w:r w:rsidRPr="002911F8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безопасности и безопасности людей"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lastRenderedPageBreak/>
              <w:t>18 643,10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Муниципальная программа городского округа Кинешма "Профилактика терроризма, минимизация и (или) ликвидация последствий его проявлений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4 005,85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2 005,85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2 005,85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"Управление муниципальным имуществом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"Благоустройство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46 474,47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26 902,18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26 560,18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"Профилактика правонарушений в городском округе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1 808,20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401,93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401,93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"Управление муниципальными финансами и муниципальным долгом"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24 324,93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21 324,93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21 324,93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"Совершенствование местного самоуправления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90 077,86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73 944,09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73 947,79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городского округа Кинешма "Охрана окружающей среды"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1 041 782,75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2911F8" w:rsidRPr="002911F8" w:rsidTr="002911F8"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2911F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муниципального образования "Городской округ Кинешма" на 2018-2024 годы"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30 309,24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2911F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</w:tbl>
    <w:p w:rsidR="002911F8" w:rsidRDefault="002911F8" w:rsidP="003D5538">
      <w:pPr>
        <w:ind w:firstLine="708"/>
        <w:jc w:val="center"/>
        <w:rPr>
          <w:b/>
        </w:rPr>
      </w:pPr>
    </w:p>
    <w:p w:rsidR="00791D89" w:rsidRDefault="003D5538" w:rsidP="003D5538">
      <w:pPr>
        <w:ind w:firstLine="708"/>
        <w:jc w:val="center"/>
        <w:rPr>
          <w:b/>
        </w:rPr>
      </w:pPr>
      <w:r w:rsidRPr="002911F8">
        <w:rPr>
          <w:b/>
        </w:rPr>
        <w:t>Ведомственная структура проекта бюджета городского округа Кинешма  на 202</w:t>
      </w:r>
      <w:r w:rsidR="00B66FA3" w:rsidRPr="002911F8">
        <w:rPr>
          <w:b/>
        </w:rPr>
        <w:t>2</w:t>
      </w:r>
      <w:r w:rsidRPr="002911F8">
        <w:rPr>
          <w:b/>
        </w:rPr>
        <w:t xml:space="preserve"> и плановый период 202</w:t>
      </w:r>
      <w:r w:rsidR="00B66FA3" w:rsidRPr="002911F8">
        <w:rPr>
          <w:b/>
        </w:rPr>
        <w:t>3</w:t>
      </w:r>
      <w:r w:rsidRPr="002911F8">
        <w:rPr>
          <w:b/>
        </w:rPr>
        <w:t xml:space="preserve"> и 202</w:t>
      </w:r>
      <w:r w:rsidR="00B66FA3" w:rsidRPr="002911F8">
        <w:rPr>
          <w:b/>
        </w:rPr>
        <w:t>4</w:t>
      </w:r>
      <w:r w:rsidRPr="002911F8">
        <w:rPr>
          <w:b/>
        </w:rPr>
        <w:t xml:space="preserve"> годов</w:t>
      </w:r>
    </w:p>
    <w:p w:rsidR="00791D89" w:rsidRDefault="00791D89" w:rsidP="003D5538">
      <w:pPr>
        <w:ind w:firstLine="708"/>
        <w:jc w:val="center"/>
        <w:rPr>
          <w:b/>
        </w:rPr>
      </w:pPr>
    </w:p>
    <w:p w:rsidR="003D5538" w:rsidRPr="002911F8" w:rsidRDefault="00791D89" w:rsidP="00791D89">
      <w:pPr>
        <w:ind w:firstLine="708"/>
        <w:jc w:val="right"/>
        <w:rPr>
          <w:b/>
        </w:rPr>
      </w:pPr>
      <w:r w:rsidRPr="002911F8">
        <w:t>(тыс. руб.)</w:t>
      </w:r>
    </w:p>
    <w:p w:rsidR="00F41B81" w:rsidRDefault="00F41B81" w:rsidP="00F41B81">
      <w:pPr>
        <w:ind w:firstLine="708"/>
        <w:jc w:val="right"/>
      </w:pPr>
    </w:p>
    <w:tbl>
      <w:tblPr>
        <w:tblpPr w:leftFromText="180" w:rightFromText="180" w:vertAnchor="text" w:horzAnchor="margin" w:tblpY="-5"/>
        <w:tblW w:w="9889" w:type="dxa"/>
        <w:tblLook w:val="04A0" w:firstRow="1" w:lastRow="0" w:firstColumn="1" w:lastColumn="0" w:noHBand="0" w:noVBand="1"/>
      </w:tblPr>
      <w:tblGrid>
        <w:gridCol w:w="5260"/>
        <w:gridCol w:w="1485"/>
        <w:gridCol w:w="1560"/>
        <w:gridCol w:w="1584"/>
      </w:tblGrid>
      <w:tr w:rsidR="002911F8" w:rsidRPr="002911F8" w:rsidTr="00CE0FE1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CE0FE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CE0FE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CE0FE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F8" w:rsidRPr="002911F8" w:rsidRDefault="002911F8" w:rsidP="00CE0FE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911F8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"Комитет по культуре и туризму администрации городского округа Кинешма"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138 693,21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69 541,43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69 977,38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Управление образования администрации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860 449,50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692 548,89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638 726,46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Финансовое управление администрации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1 306 926,81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374 915,05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149 950,89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Комитет по физической культуре и спорту администрации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87 077,63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64 940,24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65 593,88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Администрация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203 749,30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182 925,50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88 910,05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городская Дума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6 615,79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Контрольно-счетная комиссия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1 978,43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</w:tr>
      <w:tr w:rsidR="002911F8" w:rsidRPr="002911F8" w:rsidTr="00CE0FE1"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11F8" w:rsidRPr="002911F8" w:rsidRDefault="002911F8" w:rsidP="00CE0FE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 xml:space="preserve">  Комитет имущественных и земельных отношений администрации городского округа Кинешма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10 700,42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</w:tr>
      <w:tr w:rsidR="002911F8" w:rsidRPr="002911F8" w:rsidTr="00CE0FE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1F8" w:rsidRPr="002911F8" w:rsidRDefault="002911F8" w:rsidP="00CE0FE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/>
                <w:bCs/>
                <w:snapToGrid/>
                <w:color w:val="000000"/>
                <w:sz w:val="24"/>
                <w:szCs w:val="24"/>
              </w:rPr>
              <w:t>2 616 191,10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/>
                <w:bCs/>
                <w:snapToGrid/>
                <w:color w:val="000000"/>
                <w:sz w:val="24"/>
                <w:szCs w:val="24"/>
              </w:rPr>
              <w:t>1 404 109,00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F8" w:rsidRPr="002911F8" w:rsidRDefault="002911F8" w:rsidP="00CE0FE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911F8">
              <w:rPr>
                <w:b/>
                <w:bCs/>
                <w:snapToGrid/>
                <w:color w:val="000000"/>
                <w:sz w:val="24"/>
                <w:szCs w:val="24"/>
              </w:rPr>
              <w:t>1 032 396,54</w:t>
            </w:r>
          </w:p>
        </w:tc>
      </w:tr>
    </w:tbl>
    <w:p w:rsidR="00033DDB" w:rsidRDefault="00033DDB" w:rsidP="00157846">
      <w:pPr>
        <w:jc w:val="right"/>
        <w:rPr>
          <w:sz w:val="24"/>
          <w:szCs w:val="24"/>
        </w:rPr>
      </w:pPr>
    </w:p>
    <w:p w:rsidR="004B16E1" w:rsidRDefault="004B16E1" w:rsidP="00157846">
      <w:pPr>
        <w:jc w:val="right"/>
        <w:rPr>
          <w:sz w:val="24"/>
          <w:szCs w:val="24"/>
        </w:rPr>
      </w:pPr>
    </w:p>
    <w:p w:rsidR="00811C26" w:rsidRPr="00C134E2" w:rsidRDefault="00811C26" w:rsidP="00811C26">
      <w:pPr>
        <w:jc w:val="center"/>
        <w:rPr>
          <w:b/>
        </w:rPr>
      </w:pPr>
      <w:r w:rsidRPr="00C134E2">
        <w:rPr>
          <w:b/>
        </w:rPr>
        <w:t>Комитет по культуре и туризму</w:t>
      </w:r>
    </w:p>
    <w:p w:rsidR="00811C26" w:rsidRPr="00C134E2" w:rsidRDefault="00811C26" w:rsidP="00811C26">
      <w:pPr>
        <w:jc w:val="center"/>
        <w:rPr>
          <w:b/>
        </w:rPr>
      </w:pPr>
      <w:r w:rsidRPr="00C134E2">
        <w:rPr>
          <w:b/>
        </w:rPr>
        <w:t xml:space="preserve"> администрации городского округа Кинешма</w:t>
      </w:r>
    </w:p>
    <w:p w:rsidR="00811C26" w:rsidRPr="00C134E2" w:rsidRDefault="00811C26" w:rsidP="00811C26">
      <w:pPr>
        <w:jc w:val="center"/>
        <w:rPr>
          <w:b/>
        </w:rPr>
      </w:pPr>
      <w:r w:rsidRPr="00C134E2">
        <w:rPr>
          <w:b/>
        </w:rPr>
        <w:t>(код главного распорядителя бюджетных средств 951)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Комитет по культуре и туризму администрации городского округа Кинешма осуществляет регулирование и координацию деятельности семи муниципальных учреждений: 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МУ </w:t>
      </w:r>
      <w:proofErr w:type="gramStart"/>
      <w:r w:rsidRPr="00C134E2">
        <w:rPr>
          <w:color w:val="000000" w:themeColor="text1"/>
        </w:rPr>
        <w:t>ДО</w:t>
      </w:r>
      <w:proofErr w:type="gramEnd"/>
      <w:r w:rsidRPr="00C134E2">
        <w:rPr>
          <w:color w:val="000000" w:themeColor="text1"/>
        </w:rPr>
        <w:t xml:space="preserve"> «</w:t>
      </w:r>
      <w:proofErr w:type="gramStart"/>
      <w:r w:rsidRPr="00C134E2">
        <w:rPr>
          <w:color w:val="000000" w:themeColor="text1"/>
        </w:rPr>
        <w:t>Детская</w:t>
      </w:r>
      <w:proofErr w:type="gramEnd"/>
      <w:r w:rsidRPr="00C134E2">
        <w:rPr>
          <w:color w:val="000000" w:themeColor="text1"/>
        </w:rPr>
        <w:t xml:space="preserve"> школа искусств», 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МУ </w:t>
      </w:r>
      <w:proofErr w:type="gramStart"/>
      <w:r w:rsidRPr="00C134E2">
        <w:rPr>
          <w:color w:val="000000" w:themeColor="text1"/>
        </w:rPr>
        <w:t>ДО</w:t>
      </w:r>
      <w:proofErr w:type="gramEnd"/>
      <w:r w:rsidRPr="00C134E2">
        <w:rPr>
          <w:color w:val="000000" w:themeColor="text1"/>
        </w:rPr>
        <w:t xml:space="preserve"> «Детская художественная школа», 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>МУ «Кинешемский городской архив»,</w:t>
      </w:r>
    </w:p>
    <w:p w:rsidR="00811C26" w:rsidRPr="00BB2845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МУ «Кинешемская городская централизованная библиотечная система», </w:t>
      </w:r>
      <w:r w:rsidRPr="00BB2845">
        <w:rPr>
          <w:color w:val="000000" w:themeColor="text1"/>
        </w:rPr>
        <w:t>состоящая из отделений и информационно-туристического центра,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BB2845">
        <w:rPr>
          <w:color w:val="000000" w:themeColor="text1"/>
        </w:rPr>
        <w:t>МУ «Клуб «Октябрь»,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>МУ «Городской дом культуры»,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МУ «Парк культуры и отдыха имени 35-летия Победы». </w:t>
      </w:r>
    </w:p>
    <w:p w:rsidR="00811C26" w:rsidRPr="00C134E2" w:rsidRDefault="00811C26" w:rsidP="00811C26">
      <w:pPr>
        <w:ind w:firstLine="708"/>
        <w:jc w:val="both"/>
        <w:rPr>
          <w:color w:val="000000" w:themeColor="text1"/>
        </w:rPr>
      </w:pPr>
      <w:r w:rsidRPr="00C134E2">
        <w:rPr>
          <w:color w:val="000000" w:themeColor="text1"/>
        </w:rPr>
        <w:t xml:space="preserve">Всем учреждениям устанавливаются муниципальные </w:t>
      </w:r>
      <w:proofErr w:type="gramStart"/>
      <w:r w:rsidRPr="00C134E2">
        <w:rPr>
          <w:color w:val="000000" w:themeColor="text1"/>
        </w:rPr>
        <w:t>задания</w:t>
      </w:r>
      <w:proofErr w:type="gramEnd"/>
      <w:r w:rsidRPr="00C134E2">
        <w:rPr>
          <w:color w:val="000000" w:themeColor="text1"/>
        </w:rPr>
        <w:t xml:space="preserve"> и предоставляется субсидия на финансовое обеспечение выполнения муниципального задания. </w:t>
      </w:r>
    </w:p>
    <w:p w:rsidR="00811C26" w:rsidRDefault="00811C26" w:rsidP="00811C26">
      <w:pPr>
        <w:ind w:firstLine="708"/>
        <w:jc w:val="both"/>
      </w:pPr>
      <w:r w:rsidRPr="005A67C6">
        <w:t xml:space="preserve">В рамках муниципальных программ </w:t>
      </w:r>
      <w:r w:rsidR="005A67C6" w:rsidRPr="005A67C6">
        <w:t xml:space="preserve">и непрограммных мероприятий </w:t>
      </w:r>
      <w:r w:rsidRPr="005A67C6">
        <w:t>городского округа Кинешма к</w:t>
      </w:r>
      <w:r w:rsidRPr="005A67C6">
        <w:rPr>
          <w:bCs/>
          <w:snapToGrid/>
          <w:color w:val="000000"/>
        </w:rPr>
        <w:t>омитету по культуре и туризму</w:t>
      </w:r>
      <w:r w:rsidRPr="005A67C6">
        <w:rPr>
          <w:b/>
          <w:bCs/>
          <w:snapToGrid/>
          <w:color w:val="000000"/>
          <w:sz w:val="24"/>
          <w:szCs w:val="24"/>
        </w:rPr>
        <w:t xml:space="preserve"> </w:t>
      </w:r>
      <w:r w:rsidRPr="005A67C6">
        <w:t>предусмотрены следующие бюджетные ассигнования:</w:t>
      </w:r>
    </w:p>
    <w:p w:rsidR="00811C26" w:rsidRDefault="00811C26" w:rsidP="00811C26">
      <w:pPr>
        <w:ind w:firstLine="708"/>
        <w:jc w:val="right"/>
      </w:pPr>
      <w:r>
        <w:t>(тыс. руб.)</w:t>
      </w:r>
    </w:p>
    <w:tbl>
      <w:tblPr>
        <w:tblW w:w="9858" w:type="dxa"/>
        <w:tblInd w:w="93" w:type="dxa"/>
        <w:tblLook w:val="04A0" w:firstRow="1" w:lastRow="0" w:firstColumn="1" w:lastColumn="0" w:noHBand="0" w:noVBand="1"/>
      </w:tblPr>
      <w:tblGrid>
        <w:gridCol w:w="3906"/>
        <w:gridCol w:w="665"/>
        <w:gridCol w:w="1430"/>
        <w:gridCol w:w="1385"/>
        <w:gridCol w:w="1236"/>
        <w:gridCol w:w="1236"/>
      </w:tblGrid>
      <w:tr w:rsidR="000F72D1" w:rsidRPr="000F72D1" w:rsidTr="002911F8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0F72D1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0F72D1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"Комитет по культуре и туризму администрации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138 693,21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69 541,43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69 977,38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41 954,46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26 911,40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27 112,66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41 809,46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26 911,40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27 112,66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образовательных программ дополнительного образования детей и мероприятия по их реализации"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4140100000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28 833,30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26 911,40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27 112,66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4140100020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2 116,39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194,49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395,75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дополнительного образования и обеспечение функционирования муниципальных организаций в сфере культуры и искусства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4140100080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26 716,91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26 716,91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26 716,91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"Поэтапное повышение средней </w:t>
            </w: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заработной платы педагогических работников муниципальных организаций дополнительного образования детей"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4140200000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12 976,15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городского округа Кинешма до средней заработной платы учителей в Ивановской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41402S1430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12 976,15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4170000000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"Содействие развитию образовательных организаций"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4170200000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Укрепление материально-технической базы муниципальных учреждений городского округа Кинешма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4170210030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"Развитие интеллектуального, творческого и физического потенциала </w:t>
            </w:r>
            <w:proofErr w:type="gramStart"/>
            <w:r w:rsidRPr="000F72D1">
              <w:rPr>
                <w:bCs/>
                <w:snapToGrid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72D1">
              <w:rPr>
                <w:bCs/>
                <w:snapToGrid/>
                <w:color w:val="000000"/>
                <w:sz w:val="24"/>
                <w:szCs w:val="24"/>
              </w:rPr>
              <w:t>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4170300000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Поддержка способных и талантливых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4170340050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"Культура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71 704,76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42 630,03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42 864,72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"Наследие"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34 240,96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19 651,21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19 907,88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"Библиотечное обслуживание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4210100000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28 729,93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16 838,62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17 053,63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4210100020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2 261,00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207,78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422,79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4210100180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15 706,34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15 706,34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15 706,34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Работы по формированию, учету, изучению, обеспечению физического сохранения и безопасности фондов библиотеки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4210100280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1 058,18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924,50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924,50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Поэтапное доведение средней заработной платы работникам культуры </w:t>
            </w: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муниципальных учреждений культуры до средней заработной платы в Ивановской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42101S0340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9 704,41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"Формирование и содержание муниципального архива"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4210200000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5 511,04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2 812,59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2 854,25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4210200020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869,22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170,02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211,67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Оказание информационных услуг на основе архивных документов и обеспечение доступа к архивным документам (копиям) и справочно-поисковым средствам к ним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4210200130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2 642,57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2 642,57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2 642,57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Поэтапное доведение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42102S0340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1 999,25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"Культурно-досуговая деятельность"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33 485,88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19 050,91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19 028,93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"Организация культурного досуга и отдыха населения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4220100000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33 485,88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19 050,91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19 028,93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4220100020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2 553,01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499,37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477,40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4220100110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18 977,04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18 551,54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18 551,54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проведения массовых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4220100500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548,20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Поэтапное доведение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42201S0340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11 407,64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"Развитие туризма в городском округе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4230000000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"Создание благоприятных условий для устойчивого развития сферы туризма в городском округе Кинешма и повышение </w:t>
            </w: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потребительского спроса на туристские услуги"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4230100000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Содействие развитию внутреннего и въездного туризма в городском округе Кинешма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4230100140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4240000000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"Повышение эффективности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4240100000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4240100360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"Формирование современной городской среды на территории муниципального образования "Городской округ Кинешма" на 2018-2024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25 013,16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"Благоустройство дворовых и общественных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25 013,16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Региональный проект "Формирование комфортной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561F200000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25 013,16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Реализация программ формирования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561F255550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25 013,16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20,84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20,84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2D1" w:rsidRPr="000F72D1" w:rsidRDefault="000F72D1" w:rsidP="000F72D1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F72D1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20,84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F72D1" w:rsidRPr="000F72D1" w:rsidTr="002911F8"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2D1" w:rsidRPr="000F72D1" w:rsidRDefault="000F72D1" w:rsidP="000F72D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/>
                <w:bCs/>
                <w:snapToGrid/>
                <w:color w:val="000000"/>
                <w:sz w:val="24"/>
                <w:szCs w:val="24"/>
              </w:rPr>
              <w:t>138 693,21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/>
                <w:bCs/>
                <w:snapToGrid/>
                <w:color w:val="000000"/>
                <w:sz w:val="24"/>
                <w:szCs w:val="24"/>
              </w:rPr>
              <w:t>69 541,43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2D1" w:rsidRPr="000F72D1" w:rsidRDefault="000F72D1" w:rsidP="000F72D1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F72D1">
              <w:rPr>
                <w:b/>
                <w:bCs/>
                <w:snapToGrid/>
                <w:color w:val="000000"/>
                <w:sz w:val="24"/>
                <w:szCs w:val="24"/>
              </w:rPr>
              <w:t>69 977,38</w:t>
            </w:r>
          </w:p>
        </w:tc>
      </w:tr>
    </w:tbl>
    <w:p w:rsidR="000F0DF3" w:rsidRDefault="000F0DF3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1D89" w:rsidRDefault="00791D89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1D89" w:rsidRDefault="00791D89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1D89" w:rsidRDefault="00791D89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1D89" w:rsidRDefault="00791D89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91D89" w:rsidRDefault="00791D89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11C26" w:rsidRPr="00C134E2" w:rsidRDefault="00811C26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34E2">
        <w:rPr>
          <w:rFonts w:ascii="Times New Roman" w:hAnsi="Times New Roman"/>
          <w:b/>
          <w:sz w:val="28"/>
          <w:szCs w:val="28"/>
        </w:rPr>
        <w:lastRenderedPageBreak/>
        <w:t xml:space="preserve">Управление образования </w:t>
      </w:r>
    </w:p>
    <w:p w:rsidR="00811C26" w:rsidRPr="00C134E2" w:rsidRDefault="00811C26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34E2">
        <w:rPr>
          <w:rFonts w:ascii="Times New Roman" w:hAnsi="Times New Roman"/>
          <w:b/>
          <w:sz w:val="28"/>
          <w:szCs w:val="28"/>
        </w:rPr>
        <w:t>администрации городского округа Кинешма</w:t>
      </w:r>
    </w:p>
    <w:p w:rsidR="00811C26" w:rsidRDefault="00811C26" w:rsidP="00811C2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34E2">
        <w:rPr>
          <w:rFonts w:ascii="Times New Roman" w:hAnsi="Times New Roman"/>
          <w:b/>
          <w:sz w:val="28"/>
          <w:szCs w:val="28"/>
        </w:rPr>
        <w:t>(код главного распорядителя бюджетных средств –953)</w:t>
      </w:r>
    </w:p>
    <w:p w:rsidR="00811C26" w:rsidRPr="00C134E2" w:rsidRDefault="00811C26" w:rsidP="00811C26">
      <w:pPr>
        <w:ind w:firstLine="708"/>
        <w:jc w:val="both"/>
      </w:pPr>
      <w:r w:rsidRPr="00C134E2">
        <w:t xml:space="preserve">Главный распорядитель бюджетных средств управление образования администрации городского округа Кинешма осуществляет регулирование и координацию деятельности </w:t>
      </w:r>
      <w:r w:rsidRPr="00BB2845">
        <w:t xml:space="preserve"> учреждени</w:t>
      </w:r>
      <w:r>
        <w:t>й</w:t>
      </w:r>
      <w:r w:rsidRPr="00BB2845">
        <w:t xml:space="preserve"> сферы «Образование».</w:t>
      </w:r>
      <w:r w:rsidRPr="00C134E2">
        <w:t xml:space="preserve"> На финансовое обеспечение бюджетных и автономных учреждений предоставляется субсидия на выполнение муниципального задания. Кроме того, предусмотрены субсидии на иные цели.</w:t>
      </w:r>
    </w:p>
    <w:p w:rsidR="00791D89" w:rsidRDefault="00811C26" w:rsidP="00811C26">
      <w:pPr>
        <w:ind w:firstLine="708"/>
        <w:jc w:val="both"/>
      </w:pPr>
      <w:r w:rsidRPr="00501857">
        <w:t>В рамках муниципальн</w:t>
      </w:r>
      <w:r>
        <w:t>ых</w:t>
      </w:r>
      <w:r w:rsidRPr="00501857">
        <w:t xml:space="preserve"> программ </w:t>
      </w:r>
      <w:r>
        <w:t xml:space="preserve">и непрограммных направлений </w:t>
      </w:r>
      <w:r w:rsidRPr="00501857">
        <w:t xml:space="preserve">городского округа Кинешма </w:t>
      </w:r>
      <w:r>
        <w:t xml:space="preserve">управлению образования </w:t>
      </w:r>
      <w:r w:rsidRPr="00501857">
        <w:t xml:space="preserve">предусмотрены </w:t>
      </w:r>
      <w:r>
        <w:t>следующие</w:t>
      </w:r>
      <w:r w:rsidRPr="00501857">
        <w:t xml:space="preserve"> бюджетные ассигнов</w:t>
      </w:r>
      <w:r>
        <w:t>ания:</w:t>
      </w:r>
    </w:p>
    <w:p w:rsidR="00811C26" w:rsidRDefault="00811C26" w:rsidP="00811C26">
      <w:pPr>
        <w:ind w:firstLine="708"/>
        <w:jc w:val="right"/>
      </w:pPr>
      <w:r>
        <w:t>(тыс. 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1443"/>
        <w:gridCol w:w="1429"/>
        <w:gridCol w:w="1417"/>
        <w:gridCol w:w="1381"/>
      </w:tblGrid>
      <w:tr w:rsidR="000E540C" w:rsidRPr="000E540C" w:rsidTr="000E540C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0E540C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0E540C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Управление образования администрации городского округа Кинешма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860 449,50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692 548,89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638 726,46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855 986,23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690 114,15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636 291,72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405 153,10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339 263,75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343 469,75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"Дошкольное образование. Присмотр и уход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405 153,10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339 263,75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343 469,75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4110100020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62 782,24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7 533,87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11 739,87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дошкольного образования и обеспечение функционирования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4110100030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83 906,35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83 906,35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83 906,35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Присмотр и уход за детьми, в части питания детей образовательного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4110100050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1 470,64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1 470,64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1 470,64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физической охраны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4110100630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9 250,56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770,88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770,88</w:t>
            </w:r>
          </w:p>
        </w:tc>
      </w:tr>
      <w:tr w:rsidR="000E540C" w:rsidRPr="000E540C" w:rsidTr="000E540C">
        <w:trPr>
          <w:trHeight w:val="3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4110180100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1 897,26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1 925,70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1 925,70</w:t>
            </w:r>
          </w:p>
        </w:tc>
      </w:tr>
      <w:tr w:rsidR="000E540C" w:rsidRPr="000E540C" w:rsidTr="000E540C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4110180170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245 846,06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243 656,32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243 656,32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346 012,97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264 542,54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243 012,42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346 012,97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264 542,54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243 012,42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4130100020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59 932,94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7 191,95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11 207,07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общего образования и обеспечение функционирования муниципальных 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4130100040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7 345,28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7 345,28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7 345,28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физической охраны общеобразовательных </w:t>
            </w: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4130111600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7 992,77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666,06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666,06</w:t>
            </w:r>
          </w:p>
        </w:tc>
      </w:tr>
      <w:tr w:rsidR="000E540C" w:rsidRPr="000E540C" w:rsidTr="000E540C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4130153031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25 545,24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25 545,24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40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4130180150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242 575,07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221 492,86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221 492,86</w:t>
            </w:r>
          </w:p>
        </w:tc>
      </w:tr>
      <w:tr w:rsidR="000E540C" w:rsidRPr="000E540C" w:rsidTr="00791D89">
        <w:trPr>
          <w:trHeight w:val="131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 и </w:t>
            </w: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4130180160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2 621,67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2 301,15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2 301,15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22 851,56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16 714,16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16 887,56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образовательных программ дополнительного образования детей и мероприятия по их реализации"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4140100000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19 052,90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16 714,16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16 887,56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4140100020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2 663,17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324,44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497,83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дополнительного образования и обеспечение функционирования муниципальных организаций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4140100060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16 389,72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16 389,72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16 389,72</w:t>
            </w:r>
          </w:p>
        </w:tc>
      </w:tr>
      <w:tr w:rsidR="000E540C" w:rsidRPr="000E540C" w:rsidTr="000E540C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"Поэтапное повышение средней заработной платы педагогических работников муниципальных организаций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4140200000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3 798,66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Поэтапное доведение средней заработной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>платы педагогическим работникам иных муниципальных организаций дополнительного образования детей городского округа</w:t>
            </w:r>
            <w:proofErr w:type="gramEnd"/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Кинешма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41402S1420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3 798,66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28 289,71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28 289,71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28 289,71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"Информационно-методическое и бухгалтерское сопровождение"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4160100000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20 618,62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20 618,62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20 618,62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Обеспечение деятельности централизованных бухгалтерий по осуществлению бухгалтерского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4160100090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17 261,89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17 261,89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17 261,89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муниципального учреждения "Информационно-методический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4160100100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3 356,73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3 356,73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3 356,73</w:t>
            </w:r>
          </w:p>
        </w:tc>
      </w:tr>
      <w:tr w:rsidR="000E540C" w:rsidRPr="000E540C" w:rsidTr="000E540C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"Повышение эффективности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4160200000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4160200360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7 671,09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53 678,90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41 303,98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4 632,28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2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2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52 693,84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41 303,98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4 632,28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"Содействие развитию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4170200000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пожарной безопасности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4170210290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"Развитие интеллектуального, творческого и физического потенциала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E540C">
              <w:rPr>
                <w:bCs/>
                <w:snapToGrid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4170300000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Мероприятия в рамках подготовки и участия в Спартакиаде школьников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4170310380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Мероприятия в рамках подготовки и участия во Всероссийской олимпиаде школьников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4170310600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Поддержка кадетских классов в общеобразовательных организациях городского округа Кинешма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4170340060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"Финансовое обеспечение предоставления мер социальной поддержки в сфере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4170400000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49 172,84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41 303,98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4 632,28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питания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4170411670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1 324,29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4170480110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10 061,03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4 632,28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4 632,28</w:t>
            </w:r>
          </w:p>
        </w:tc>
      </w:tr>
      <w:tr w:rsidR="000E540C" w:rsidRPr="000E540C" w:rsidTr="000E540C">
        <w:trPr>
          <w:trHeight w:val="11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0E540C">
              <w:rPr>
                <w:bCs/>
                <w:snapToGrid/>
                <w:color w:val="000000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41704L3041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37 787,51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36 671,71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Региональный проект "Успех каждого ребенка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417E200000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985,06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417E254910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985,06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"Реализация социальной и молодежной политики в городском округе Кинешма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</w:tr>
      <w:tr w:rsidR="000E540C" w:rsidRPr="000E540C" w:rsidTr="000E540C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Подпрограмма "Дети города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4420000000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</w:tr>
      <w:tr w:rsidR="000E540C" w:rsidRPr="000E540C" w:rsidTr="000E540C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"Отдых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4420200000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2 434,74</w:t>
            </w:r>
          </w:p>
        </w:tc>
      </w:tr>
      <w:tr w:rsidR="000E540C" w:rsidRPr="000E540C" w:rsidTr="000E540C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4420280200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187,49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187,49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187,49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44202S0190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2 247,25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2 247,25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2 247,25</w:t>
            </w:r>
          </w:p>
        </w:tc>
      </w:tr>
      <w:tr w:rsidR="000E540C" w:rsidRPr="000E540C" w:rsidTr="000E540C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"Профилактика терроризма, минимизация и (или) ликвидация последствий его проявлений в городском округе Кинешма"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антитеррористической защищенности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4900100000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Установка систем видеонаблюдения (видеокамер) на потенциальных объектах террористических посягательств, обеспечение охраны данных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4900111560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40C" w:rsidRPr="000E540C" w:rsidRDefault="000E540C" w:rsidP="000E540C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0E540C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0E540C" w:rsidRPr="000E540C" w:rsidTr="000E540C">
        <w:trPr>
          <w:trHeight w:val="255"/>
        </w:trPr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0C" w:rsidRPr="000E540C" w:rsidRDefault="000E540C" w:rsidP="000E540C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/>
                <w:bCs/>
                <w:snapToGrid/>
                <w:color w:val="000000"/>
                <w:sz w:val="24"/>
                <w:szCs w:val="24"/>
              </w:rPr>
              <w:t>860 449,50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/>
                <w:bCs/>
                <w:snapToGrid/>
                <w:color w:val="000000"/>
                <w:sz w:val="24"/>
                <w:szCs w:val="24"/>
              </w:rPr>
              <w:t>692 548,89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40C" w:rsidRPr="000E540C" w:rsidRDefault="000E540C" w:rsidP="000E540C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0E540C">
              <w:rPr>
                <w:b/>
                <w:bCs/>
                <w:snapToGrid/>
                <w:color w:val="000000"/>
                <w:sz w:val="24"/>
                <w:szCs w:val="24"/>
              </w:rPr>
              <w:t>638 726,46</w:t>
            </w:r>
          </w:p>
        </w:tc>
      </w:tr>
    </w:tbl>
    <w:p w:rsidR="000E540C" w:rsidRDefault="000E540C" w:rsidP="00811C26">
      <w:pPr>
        <w:jc w:val="both"/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811C26" w:rsidRPr="00B412F5" w:rsidRDefault="00811C26" w:rsidP="00811C26">
      <w:pPr>
        <w:jc w:val="center"/>
        <w:rPr>
          <w:b/>
        </w:rPr>
      </w:pPr>
      <w:r w:rsidRPr="00B412F5">
        <w:rPr>
          <w:b/>
        </w:rPr>
        <w:lastRenderedPageBreak/>
        <w:t xml:space="preserve">Финансовое управление </w:t>
      </w:r>
    </w:p>
    <w:p w:rsidR="00811C26" w:rsidRPr="00B412F5" w:rsidRDefault="00811C26" w:rsidP="00811C26">
      <w:pPr>
        <w:jc w:val="center"/>
        <w:rPr>
          <w:b/>
        </w:rPr>
      </w:pPr>
      <w:r w:rsidRPr="00B412F5">
        <w:rPr>
          <w:b/>
        </w:rPr>
        <w:t xml:space="preserve">администрации городского округа Кинешма </w:t>
      </w:r>
    </w:p>
    <w:p w:rsidR="00811C26" w:rsidRDefault="00811C26" w:rsidP="00811C26">
      <w:pPr>
        <w:jc w:val="center"/>
        <w:rPr>
          <w:b/>
        </w:rPr>
      </w:pPr>
      <w:r w:rsidRPr="00B412F5">
        <w:rPr>
          <w:b/>
        </w:rPr>
        <w:t>(код главного распорядителя бюджетных средств 954)</w:t>
      </w:r>
    </w:p>
    <w:p w:rsidR="00EB09FA" w:rsidRPr="00B412F5" w:rsidRDefault="00EB09FA" w:rsidP="00811C26">
      <w:pPr>
        <w:jc w:val="center"/>
        <w:rPr>
          <w:b/>
        </w:rPr>
      </w:pPr>
    </w:p>
    <w:p w:rsidR="00811C26" w:rsidRPr="0014020B" w:rsidRDefault="00811C26" w:rsidP="00811C26">
      <w:pPr>
        <w:ind w:firstLine="708"/>
        <w:jc w:val="both"/>
      </w:pPr>
      <w:r>
        <w:t>Ф</w:t>
      </w:r>
      <w:r w:rsidRPr="00501857">
        <w:t>инансовое управление администрации городского округа Кинешма</w:t>
      </w:r>
      <w:r>
        <w:t xml:space="preserve"> (далее – финансовое управление)</w:t>
      </w:r>
      <w:r w:rsidRPr="00501857">
        <w:t xml:space="preserve"> осуществляет организацию бюджетного процесса, налоговой полит</w:t>
      </w:r>
      <w:r>
        <w:t>ики,</w:t>
      </w:r>
      <w:r w:rsidRPr="00501857">
        <w:t xml:space="preserve"> организацию кассового обслуживания бюджета и контролирует расходование бюджетных средств городского округа Кинешма</w:t>
      </w:r>
      <w:r>
        <w:t>, а также является координатором</w:t>
      </w:r>
      <w:r w:rsidRPr="00942F32">
        <w:rPr>
          <w:bCs/>
          <w:snapToGrid/>
          <w:color w:val="000000"/>
        </w:rPr>
        <w:t xml:space="preserve"> </w:t>
      </w:r>
      <w:r>
        <w:rPr>
          <w:bCs/>
          <w:snapToGrid/>
          <w:color w:val="000000"/>
        </w:rPr>
        <w:t>МУ «Управление ГО и ЧС», МУ «Управление городского хозяйства», МУ «Управление капитального строительства, МУ «Городское управление строительства»</w:t>
      </w:r>
      <w:r w:rsidRPr="0014020B">
        <w:t>.</w:t>
      </w:r>
    </w:p>
    <w:p w:rsidR="00811C26" w:rsidRDefault="00811C26" w:rsidP="00811C26">
      <w:pPr>
        <w:ind w:firstLine="851"/>
        <w:jc w:val="both"/>
      </w:pPr>
      <w:r>
        <w:t>Финансовое управление</w:t>
      </w:r>
      <w:r w:rsidRPr="00BB0E34">
        <w:t xml:space="preserve"> </w:t>
      </w:r>
      <w:r>
        <w:t xml:space="preserve">выполняет </w:t>
      </w:r>
      <w:r w:rsidRPr="00BB0E34">
        <w:t>функции, направленные на обеспечени</w:t>
      </w:r>
      <w:r>
        <w:t>е поступления сре</w:t>
      </w:r>
      <w:proofErr w:type="gramStart"/>
      <w:r>
        <w:t xml:space="preserve">дств в </w:t>
      </w:r>
      <w:r w:rsidRPr="00BB0E34">
        <w:t>б</w:t>
      </w:r>
      <w:proofErr w:type="gramEnd"/>
      <w:r w:rsidRPr="00BB0E34">
        <w:t>юджет</w:t>
      </w:r>
      <w:r>
        <w:t xml:space="preserve"> городского округа Кинешма по администрируемым доходам:</w:t>
      </w:r>
    </w:p>
    <w:p w:rsidR="00811C26" w:rsidRDefault="00811C26" w:rsidP="00811C26">
      <w:pPr>
        <w:ind w:firstLine="851"/>
        <w:jc w:val="both"/>
      </w:pPr>
      <w:r w:rsidRPr="00D40554">
        <w:t xml:space="preserve">- </w:t>
      </w:r>
      <w:r w:rsidRPr="00D40554">
        <w:rPr>
          <w:snapToGrid/>
        </w:rPr>
        <w:t>Прочие доходы от оказания платных услуг (работ) получателями средств бюджетов городских округов</w:t>
      </w:r>
      <w:r w:rsidRPr="00D40554">
        <w:t>,</w:t>
      </w:r>
    </w:p>
    <w:p w:rsidR="00E13F18" w:rsidRPr="001425D5" w:rsidRDefault="00E13F18" w:rsidP="00E13F18">
      <w:pPr>
        <w:ind w:firstLine="851"/>
        <w:jc w:val="both"/>
      </w:pPr>
      <w:r w:rsidRPr="001425D5">
        <w:rPr>
          <w:snapToGrid/>
        </w:rPr>
        <w:t xml:space="preserve">- </w:t>
      </w:r>
      <w:r w:rsidRPr="005D5A3C">
        <w:rPr>
          <w:snapToGrid/>
        </w:rPr>
        <w:t>Прочие неналоговые доходы бюджетов городских округов</w:t>
      </w:r>
      <w:r>
        <w:rPr>
          <w:snapToGrid/>
        </w:rPr>
        <w:t>.</w:t>
      </w:r>
    </w:p>
    <w:p w:rsidR="00811C26" w:rsidRPr="00D40554" w:rsidRDefault="00811C26" w:rsidP="00811C26">
      <w:pPr>
        <w:ind w:firstLine="851"/>
        <w:jc w:val="both"/>
        <w:rPr>
          <w:snapToGrid/>
        </w:rPr>
      </w:pPr>
      <w:r w:rsidRPr="00D40554">
        <w:rPr>
          <w:snapToGrid/>
        </w:rPr>
        <w:t>- Взносы от погашения ипотечных кредитов для учета прочих неналоговых доходов бюджетов городских округов,</w:t>
      </w:r>
    </w:p>
    <w:p w:rsidR="00811C26" w:rsidRPr="00D40554" w:rsidRDefault="00811C26" w:rsidP="00811C26">
      <w:pPr>
        <w:ind w:firstLine="851"/>
        <w:jc w:val="both"/>
        <w:rPr>
          <w:snapToGrid/>
        </w:rPr>
      </w:pPr>
      <w:r w:rsidRPr="00D40554">
        <w:rPr>
          <w:snapToGrid/>
        </w:rPr>
        <w:t xml:space="preserve">- Дотации бюджетам городских округов, </w:t>
      </w:r>
    </w:p>
    <w:p w:rsidR="00811C26" w:rsidRPr="00D40554" w:rsidRDefault="00811C26" w:rsidP="00811C26">
      <w:pPr>
        <w:ind w:firstLine="851"/>
        <w:jc w:val="both"/>
        <w:rPr>
          <w:snapToGrid/>
        </w:rPr>
      </w:pPr>
      <w:r w:rsidRPr="00D40554">
        <w:rPr>
          <w:snapToGrid/>
        </w:rPr>
        <w:t>- Субсидии бюджетам городских округов,</w:t>
      </w:r>
    </w:p>
    <w:p w:rsidR="00811C26" w:rsidRDefault="00811C26" w:rsidP="00811C26">
      <w:pPr>
        <w:ind w:firstLine="851"/>
        <w:jc w:val="both"/>
        <w:rPr>
          <w:snapToGrid/>
        </w:rPr>
      </w:pPr>
      <w:r w:rsidRPr="00D40554">
        <w:rPr>
          <w:snapToGrid/>
        </w:rPr>
        <w:t>- Субвенции бюджетам городских округов,</w:t>
      </w:r>
    </w:p>
    <w:p w:rsidR="00EB09FA" w:rsidRPr="00D40554" w:rsidRDefault="00EB09FA" w:rsidP="00811C26">
      <w:pPr>
        <w:ind w:firstLine="851"/>
        <w:jc w:val="both"/>
        <w:rPr>
          <w:snapToGrid/>
        </w:rPr>
      </w:pPr>
      <w:r>
        <w:rPr>
          <w:snapToGrid/>
        </w:rPr>
        <w:t xml:space="preserve">- </w:t>
      </w:r>
      <w:r w:rsidRPr="00EB09FA">
        <w:rPr>
          <w:snapToGrid/>
        </w:rPr>
        <w:t>Иные межбюджетные трансферты</w:t>
      </w:r>
    </w:p>
    <w:p w:rsidR="00811C26" w:rsidRPr="00D40554" w:rsidRDefault="00811C26" w:rsidP="00811C26">
      <w:pPr>
        <w:ind w:firstLine="851"/>
        <w:jc w:val="both"/>
      </w:pPr>
      <w:r w:rsidRPr="00D40554">
        <w:rPr>
          <w:snapToGrid/>
        </w:rPr>
        <w:t>-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 w:rsidR="004222EE">
        <w:rPr>
          <w:snapToGrid/>
        </w:rPr>
        <w:t xml:space="preserve"> и другие</w:t>
      </w:r>
      <w:r w:rsidRPr="00D40554">
        <w:rPr>
          <w:snapToGrid/>
        </w:rPr>
        <w:t>.</w:t>
      </w:r>
    </w:p>
    <w:p w:rsidR="00811C26" w:rsidRDefault="00811C26" w:rsidP="00791D89">
      <w:pPr>
        <w:ind w:firstLine="708"/>
        <w:jc w:val="both"/>
      </w:pPr>
      <w:r w:rsidRPr="002340CE">
        <w:t xml:space="preserve">В рамках муниципальных программ городского округа Кинешма </w:t>
      </w:r>
      <w:r w:rsidRPr="002340CE">
        <w:rPr>
          <w:snapToGrid/>
        </w:rPr>
        <w:t>и непрограммных направлений</w:t>
      </w:r>
      <w:r w:rsidRPr="002340CE">
        <w:rPr>
          <w:b/>
        </w:rPr>
        <w:t xml:space="preserve"> </w:t>
      </w:r>
      <w:r w:rsidRPr="002340CE">
        <w:t>финансовому управлению</w:t>
      </w:r>
      <w:r w:rsidRPr="002340CE">
        <w:rPr>
          <w:b/>
        </w:rPr>
        <w:t xml:space="preserve"> </w:t>
      </w:r>
      <w:r w:rsidRPr="002340CE">
        <w:t>предусмотрены следующие бюджетные ассигнования:</w:t>
      </w:r>
      <w:r w:rsidR="00ED2EA8" w:rsidRPr="002340CE">
        <w:t xml:space="preserve"> </w:t>
      </w:r>
      <w:r w:rsidRPr="002340CE">
        <w:t>(тыс. руб.)</w:t>
      </w:r>
    </w:p>
    <w:p w:rsidR="002911F8" w:rsidRDefault="002911F8" w:rsidP="00811C26">
      <w:pPr>
        <w:ind w:firstLine="708"/>
        <w:jc w:val="right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811"/>
        <w:gridCol w:w="1470"/>
        <w:gridCol w:w="1546"/>
        <w:gridCol w:w="1418"/>
        <w:gridCol w:w="1417"/>
      </w:tblGrid>
      <w:tr w:rsidR="002340CE" w:rsidRPr="002340CE" w:rsidTr="002340CE">
        <w:trPr>
          <w:trHeight w:val="85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811C26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09796F">
              <w:rPr>
                <w:b/>
              </w:rPr>
              <w:t xml:space="preserve"> </w:t>
            </w:r>
            <w:r w:rsidR="002340CE"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2340CE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2340CE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Финансовое управление администрации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1 306 926,81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374 915,05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149 950,89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"Реализация социальной и молодежной политики в городском округе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2 329,93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"Поддержка отдельных категорий граждан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"Формирование доступной среды жизнедеятельности для инвалидов"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4410400000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доступности зданий и сооружений для инвалидов и других маломобильных групп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4410411780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"Дети города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4420000000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"Отдых и оздоровление детей"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4420200000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46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отдыха детей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4420211700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"Молодежная политика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4430000000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"Организация работы с молодежью"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4430100000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4430110130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973,74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"Обеспечение качественным жильем, услугами жилищно-коммунального хозяйства населения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43 833,34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9 523,50</w:t>
            </w:r>
          </w:p>
        </w:tc>
      </w:tr>
      <w:tr w:rsidR="002340CE" w:rsidRPr="002340CE" w:rsidTr="002340C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"Жилище"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3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"Создание безопасности и благоприятных условий проживания граждан, организационное и финансовое обеспечение проведения капитального ремонта общего имущества в многоквартирных домах 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Капитальный ремонт муниципального жилищного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4510120070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"Развитие инженерных инфраструктур"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4530000000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43 683,34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9 523,50</w:t>
            </w:r>
          </w:p>
        </w:tc>
      </w:tr>
      <w:tr w:rsidR="002340CE" w:rsidRPr="002340CE" w:rsidTr="002340CE">
        <w:trPr>
          <w:trHeight w:val="46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"Развитие и организация инженерных инфраструктур"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4530100000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43 683,34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9 523,50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4530100020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27 198,84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5 320,13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6 623,50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уличного освещения в границах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4530100240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2 900,00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Наказы избирателей депутатам городской Думы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4530110010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13 584,50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"Развитие транспортной системы в городском округе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109 053,30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86 539,19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66 613,77</w:t>
            </w:r>
          </w:p>
        </w:tc>
      </w:tr>
      <w:tr w:rsidR="002340CE" w:rsidRPr="002340CE" w:rsidTr="00791D89">
        <w:trPr>
          <w:trHeight w:val="32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"Содержание автомобильных дорог общего пользования местного значения, мостов и иных транспортных инженерных сооружений в границах городского округа </w:t>
            </w: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90 094,14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86 539,19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66 613,77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"Организация содержания закрепленных автомобильных дорог общего пользования и искусственных дорожных сооружений в их составе" в границах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90 094,14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86 539,19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66 613,77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4610100020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4 419,38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826,40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4610100160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85 674,76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85 674,76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65 787,37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"Ремонт автомобильных дорог общего пользования местного значения, внутриквартальных проездов и придомовых территорий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4620000000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18 959,16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4620100000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18 959,16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791D89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</w:t>
            </w: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муниципальных дорожных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46201S0510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18 959,16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Муниципальная программа городского округа Кинешма "Защита населения и территорий от чрезвычайных ситуаций, обеспечение пожарной безопасности и безопасности людей"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"Предупреждение и ликвидация последствий чрезвычайных ситуаций в границах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</w:tr>
      <w:tr w:rsidR="002340CE" w:rsidRPr="002340CE" w:rsidTr="002340CE">
        <w:trPr>
          <w:trHeight w:val="3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"Организация мероприятий по предупреждению, ликвидации последствий чрезвычайных ситуаций и происшествий, оказанию помощи при происшествиях и чрезвычайных ситуациях на территории городского округа Кинешма и обучение населения городского округа Кинешма в области гражданской обороны,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18 294,38</w:t>
            </w:r>
          </w:p>
        </w:tc>
      </w:tr>
      <w:tr w:rsidR="002340CE" w:rsidRPr="002340CE" w:rsidTr="002340CE">
        <w:trPr>
          <w:trHeight w:val="25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Предупреждение и ликвидация последствий чрезвычайных ситуаций в границах городского округа Кинешма, организация обучения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4810100190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18 234,38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18 234,38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системы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4810100200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"Внедрение и развитие аппаратно-программного комплекса "Безопасный город" на территории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4820000000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</w:tr>
      <w:tr w:rsidR="002340CE" w:rsidRPr="002340CE" w:rsidTr="002340CE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"Совершенствование системы видеонаблюдения и </w:t>
            </w:r>
            <w:proofErr w:type="spellStart"/>
            <w:r w:rsidRPr="002340CE">
              <w:rPr>
                <w:bCs/>
                <w:snapToGrid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происшествий и чрезвычайных ситуаций на базе МУ "Управление по делам гражданской обороны и чрезвычайным ситуациям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4820100000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Охват системой видеонаблюдения всех основных транспортных развязок и мест скопления людей на территории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4820110200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348,72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"Благоустройство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46 428,58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26 902,18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26 560,18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"Благоустройство территории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38 194,91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18 392,64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18 364,52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"Благоустройство территорий общего пользования"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24 610,90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15 053,54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15 044,11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5110100020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1 096,29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214,44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205,00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источников </w:t>
            </w: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нецентрализованного водоснабжения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5110100260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Содержание, благоустройство мест массового отдыха населения городского округа Кинешма и других территорий общего пользования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5110100270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14 654,11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14 654,11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14 654,11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 ремонт детских игровых площадок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5110100580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125,00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"Наказы избирателей депутатам городской Думы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5110110010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6 425,50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Ремонт мемориалов воинских захоронений, памятных знаков и других малых архитектурных форм на территории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5110111250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Прочие работы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5110160020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"Содержание территорий общего пользования городских кладбищ и оказание поддержки в связи с погребением невостребованных и неизвестных умерших"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5110200000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5 084,99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3 339,10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3 320,42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5110200020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2 170,43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424,54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405,86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и содержание мест захоронений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5110200300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2 914,56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2 914,56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"Обновление парка автотранспортных средств, используемых при выполнении операций внешнего благоустройства населенных пунктов, и коммунальной техники"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5110300000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8 499,02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Приобретение автотранспортных средств и коммунальной техники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5110310490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8 499,02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Подпрограмма "Текущее содержание инженерной защиты (дамбы, дренажные системы </w:t>
            </w:r>
            <w:proofErr w:type="spellStart"/>
            <w:r w:rsidRPr="002340CE">
              <w:rPr>
                <w:bCs/>
                <w:snapToGrid/>
                <w:color w:val="000000"/>
                <w:sz w:val="24"/>
                <w:szCs w:val="24"/>
              </w:rPr>
              <w:t>водоперекачивающие</w:t>
            </w:r>
            <w:proofErr w:type="spellEnd"/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станции)"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5120000000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8 509,54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8 195,66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"Текущее содержание гидротехнических сооружений"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5120100000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8 509,54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8 195,66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Текущее содержание инженерной защиты (дамбы, дренажные системы, </w:t>
            </w:r>
            <w:proofErr w:type="spellStart"/>
            <w:r w:rsidRPr="002340CE">
              <w:rPr>
                <w:bCs/>
                <w:snapToGrid/>
                <w:color w:val="000000"/>
                <w:sz w:val="24"/>
                <w:szCs w:val="24"/>
              </w:rPr>
              <w:t>водоперекачивающие</w:t>
            </w:r>
            <w:proofErr w:type="spellEnd"/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станции)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51201S0540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8 233,67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8 509,54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8 195,66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"Профилактика правонарушений в городском округе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339,94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"Предупреждение правонарушений и обеспечение экологической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339,94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мероприятий по содействию занятости населения"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5210300000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общественных работ на территории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5210310140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105,35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"Регулирование численности безнадзорных животных на территории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5210400000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</w:tr>
      <w:tr w:rsidR="002340CE" w:rsidRPr="002340CE" w:rsidTr="00791D89">
        <w:trPr>
          <w:trHeight w:val="60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отдельных государственных полномочий </w:t>
            </w:r>
            <w:proofErr w:type="gramStart"/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в области обращения с животными в части организации мероприятий при осуществлении деятельности по </w:t>
            </w: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обращению</w:t>
            </w:r>
            <w:proofErr w:type="gramEnd"/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5210480370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234,59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Муниципальная программа городского округа Кинешма "Управление муниципальными финансами и муниципальным долгом"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функционирования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5310100360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9 171,63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"Совершенствование местного самоуправления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органов местного самоуправления городского округа Кинешма"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5410000000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5410300000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Обеспечение деятельности муниципальных учреждений строительства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5410300420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9 930,10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"Охрана окружающей среды"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1 036 519,59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Региональный проект "Оздоровление Волги"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550G600000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1 036 519,59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Сокращение доли загрязненных сточных вод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550G650130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1 036 519,59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"Формирование современной городской среды на территории муниципального образования "Городской округ Кинешма" на 2018-2024 годы"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5 296,09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"Благоустройство дворовых и общественных территорий"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5 296,09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Подпрограмма "Благоустройство дворовых и общественных территорий"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2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2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2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"Формирование современной городской среды"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5610100000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Благоустройство общественных территорий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5610111680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3 496,01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Региональный проект "Формирование комфортной городской среды"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561F200000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1 800,08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561F2S5100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1 800,08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резервного фонда администрации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</w:tr>
      <w:tr w:rsidR="002340CE" w:rsidRPr="002340CE" w:rsidTr="002340CE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Резервный фонд администрации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7210000000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Резервный фонд администрации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7210010290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</w:tr>
      <w:tr w:rsidR="002340CE" w:rsidRPr="002340CE" w:rsidTr="002340CE">
        <w:trPr>
          <w:trHeight w:val="46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на 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4 871,09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7490000000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4 871,09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28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7490060050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4 871,09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Расходные обязательства городского округа Кинешма по приведению уровня заработной платы работников бюджетной сферы в соответствие нормам действующего законодательства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</w:tr>
      <w:tr w:rsidR="002340CE" w:rsidRPr="002340CE" w:rsidTr="002340C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7790000000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</w:tr>
      <w:tr w:rsidR="002340CE" w:rsidRPr="002340CE" w:rsidTr="002340C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Расходные обязательства городского округа Кинешма по приведению уровня заработной платы работников бюджетной сферы в соответствие нормам действующего законодательства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7790000010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846,14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16 664,00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</w:t>
            </w: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16 664,00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41,04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46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Укрепление материально-технической базы муниципальных учреждений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8090010030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Прочие направления деятельности бюджета городского округа Кинешма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8090011230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510,06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40CE" w:rsidRPr="002340CE" w:rsidRDefault="002340CE" w:rsidP="002340CE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 xml:space="preserve">            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в 2021 году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2340CE">
              <w:rPr>
                <w:snapToGrid/>
                <w:color w:val="000000"/>
                <w:sz w:val="24"/>
                <w:szCs w:val="24"/>
              </w:rPr>
              <w:t>8090015090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112,90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2340CE" w:rsidRPr="002340CE" w:rsidTr="002340CE">
        <w:trPr>
          <w:trHeight w:val="255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CE" w:rsidRPr="002340CE" w:rsidRDefault="002340CE" w:rsidP="002340CE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/>
                <w:bCs/>
                <w:snapToGrid/>
                <w:color w:val="000000"/>
                <w:sz w:val="24"/>
                <w:szCs w:val="24"/>
              </w:rPr>
              <w:t>1 306 926,81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/>
                <w:bCs/>
                <w:snapToGrid/>
                <w:color w:val="000000"/>
                <w:sz w:val="24"/>
                <w:szCs w:val="24"/>
              </w:rPr>
              <w:t>374 915,05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CE" w:rsidRPr="002340CE" w:rsidRDefault="002340CE" w:rsidP="002340CE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2340CE">
              <w:rPr>
                <w:b/>
                <w:bCs/>
                <w:snapToGrid/>
                <w:color w:val="000000"/>
                <w:sz w:val="24"/>
                <w:szCs w:val="24"/>
              </w:rPr>
              <w:t>149 950,89</w:t>
            </w:r>
          </w:p>
        </w:tc>
      </w:tr>
    </w:tbl>
    <w:p w:rsidR="00811C26" w:rsidRPr="0009796F" w:rsidRDefault="00811C26" w:rsidP="00811C26">
      <w:pPr>
        <w:ind w:firstLine="708"/>
        <w:jc w:val="both"/>
        <w:rPr>
          <w:b/>
        </w:rPr>
      </w:pPr>
    </w:p>
    <w:p w:rsidR="00811C26" w:rsidRPr="00FB0501" w:rsidRDefault="00811C26" w:rsidP="00811C26">
      <w:pPr>
        <w:jc w:val="center"/>
        <w:rPr>
          <w:b/>
        </w:rPr>
      </w:pPr>
      <w:r w:rsidRPr="00FB0501">
        <w:rPr>
          <w:b/>
        </w:rPr>
        <w:t>Комитет по физической культуре и спорту</w:t>
      </w:r>
    </w:p>
    <w:p w:rsidR="00811C26" w:rsidRPr="00FB0501" w:rsidRDefault="00811C26" w:rsidP="00811C26">
      <w:pPr>
        <w:jc w:val="center"/>
        <w:rPr>
          <w:b/>
        </w:rPr>
      </w:pPr>
      <w:r w:rsidRPr="00FB0501">
        <w:rPr>
          <w:b/>
        </w:rPr>
        <w:t xml:space="preserve"> администрации городского округа Кинешма</w:t>
      </w:r>
    </w:p>
    <w:p w:rsidR="00811C26" w:rsidRPr="00FB0501" w:rsidRDefault="00811C26" w:rsidP="00811C26">
      <w:pPr>
        <w:jc w:val="center"/>
        <w:rPr>
          <w:b/>
        </w:rPr>
      </w:pPr>
      <w:r w:rsidRPr="00FB0501">
        <w:rPr>
          <w:b/>
        </w:rPr>
        <w:t>(код главного распорядителя бюджетных средств 958)</w:t>
      </w:r>
    </w:p>
    <w:p w:rsidR="00811C26" w:rsidRPr="00FB0501" w:rsidRDefault="00811C26" w:rsidP="00811C26">
      <w:pPr>
        <w:ind w:firstLine="708"/>
        <w:jc w:val="both"/>
      </w:pPr>
      <w:r w:rsidRPr="00FB0501">
        <w:t>В проекте бюджета городского округа Кинешма на 20</w:t>
      </w:r>
      <w:r>
        <w:t>2</w:t>
      </w:r>
      <w:r w:rsidR="00785061">
        <w:t>2</w:t>
      </w:r>
      <w:r w:rsidRPr="00FB0501">
        <w:t xml:space="preserve"> год и плановый период 20</w:t>
      </w:r>
      <w:r>
        <w:t>2</w:t>
      </w:r>
      <w:r w:rsidR="00785061">
        <w:t>3</w:t>
      </w:r>
      <w:r w:rsidRPr="00FB0501">
        <w:t xml:space="preserve"> и 202</w:t>
      </w:r>
      <w:r w:rsidR="00785061">
        <w:t>4</w:t>
      </w:r>
      <w:r w:rsidRPr="00FB0501">
        <w:t xml:space="preserve"> годов предусмотрены бюджетные ассигнования на выполнение муниципального задания по оказанию муниципальных услуг </w:t>
      </w:r>
      <w:r w:rsidR="00603CC8">
        <w:t>5</w:t>
      </w:r>
      <w:r w:rsidRPr="00FB0501">
        <w:t xml:space="preserve"> бюджетным учреждениям:</w:t>
      </w:r>
    </w:p>
    <w:p w:rsidR="00811C26" w:rsidRPr="00FB0501" w:rsidRDefault="00811C26" w:rsidP="00811C26">
      <w:pPr>
        <w:ind w:firstLine="708"/>
        <w:jc w:val="both"/>
      </w:pPr>
      <w:r w:rsidRPr="00FB0501">
        <w:t>МБУДО ДЮСШ «Волжанин»,</w:t>
      </w:r>
    </w:p>
    <w:p w:rsidR="00811C26" w:rsidRPr="00FB0501" w:rsidRDefault="00811C26" w:rsidP="00811C26">
      <w:pPr>
        <w:ind w:firstLine="708"/>
        <w:jc w:val="both"/>
      </w:pPr>
      <w:r w:rsidRPr="00FB0501">
        <w:t xml:space="preserve">МБУДО ДЮСШ «Звездный», </w:t>
      </w:r>
    </w:p>
    <w:p w:rsidR="00811C26" w:rsidRPr="00FB0501" w:rsidRDefault="00811C26" w:rsidP="00811C26">
      <w:pPr>
        <w:ind w:firstLine="708"/>
        <w:jc w:val="both"/>
      </w:pPr>
      <w:r w:rsidRPr="00FB0501">
        <w:t xml:space="preserve">МБУДО «СДЮШОР им. Олимпийского чемпиона С. </w:t>
      </w:r>
      <w:proofErr w:type="spellStart"/>
      <w:r w:rsidRPr="00FB0501">
        <w:t>Клюгина</w:t>
      </w:r>
      <w:proofErr w:type="spellEnd"/>
      <w:r w:rsidRPr="00FB0501">
        <w:t>»,</w:t>
      </w:r>
    </w:p>
    <w:p w:rsidR="00811C26" w:rsidRDefault="00603CC8" w:rsidP="00811C26">
      <w:pPr>
        <w:ind w:firstLine="708"/>
        <w:jc w:val="both"/>
      </w:pPr>
      <w:r>
        <w:t>МБУДО ДЮСШ «Арена»,</w:t>
      </w:r>
    </w:p>
    <w:p w:rsidR="00603CC8" w:rsidRDefault="00603CC8" w:rsidP="00811C26">
      <w:pPr>
        <w:ind w:firstLine="708"/>
        <w:jc w:val="both"/>
      </w:pPr>
      <w:r>
        <w:t>МБУ ФОК «Волга».</w:t>
      </w:r>
    </w:p>
    <w:p w:rsidR="00811C26" w:rsidRPr="005C4FEB" w:rsidRDefault="00811C26" w:rsidP="00811C26">
      <w:pPr>
        <w:ind w:firstLine="708"/>
        <w:jc w:val="both"/>
      </w:pPr>
      <w:r w:rsidRPr="005C4FEB">
        <w:t>В рамках муниципальных программ</w:t>
      </w:r>
      <w:r w:rsidR="00603CC8">
        <w:t xml:space="preserve"> и непрограммных мероприятий </w:t>
      </w:r>
      <w:r w:rsidRPr="005C4FEB">
        <w:t xml:space="preserve"> городского округа Кинешма комитету по физической культуре и спорту предусмотрены следующие бюджетные ассигнования:</w:t>
      </w:r>
    </w:p>
    <w:p w:rsidR="00811C26" w:rsidRDefault="00811C26" w:rsidP="00811C26">
      <w:pPr>
        <w:ind w:firstLine="708"/>
        <w:jc w:val="right"/>
      </w:pPr>
      <w:r w:rsidRPr="005C4FEB">
        <w:t>(тыс. руб.)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07"/>
        <w:gridCol w:w="815"/>
        <w:gridCol w:w="1430"/>
        <w:gridCol w:w="1236"/>
        <w:gridCol w:w="1236"/>
        <w:gridCol w:w="1236"/>
      </w:tblGrid>
      <w:tr w:rsidR="005C4FEB" w:rsidRPr="005C4FEB" w:rsidTr="00791D89">
        <w:trPr>
          <w:trHeight w:val="855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2A642E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5C4FEB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5C4FEB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Комитет по физической культуре и спорту администрации городского округа Кинешма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87 077,63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64 940,24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65 593,88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53 316,50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41 089,08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41 740,10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53 316,50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41 089,08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41 740,10</w:t>
            </w:r>
          </w:p>
        </w:tc>
      </w:tr>
      <w:tr w:rsidR="005C4FEB" w:rsidRPr="005C4FEB" w:rsidTr="00791D89">
        <w:trPr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образовательных программ дополнительного образования детей и мероприятия по их реализации"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47 623,79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41 089,08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41 740,10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4140100020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6 845,81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629,10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1 280,12</w:t>
            </w:r>
          </w:p>
        </w:tc>
      </w:tr>
      <w:tr w:rsidR="005C4FEB" w:rsidRPr="005C4FEB" w:rsidTr="00791D89">
        <w:trPr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дополнительного образования и обеспечение функционирования муниципальных организаций в области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4140100070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40 459,98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40 459,98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40 459,98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и проведение спортивных мероприятий в рамках муниципального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4140100620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"Поэтапное повышение средней заработной платы педагогических работников муниципальных организаций дополнительного образования детей"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4140200000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5 692,71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204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41402S1440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5 692,71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"Развитие физической культуры и спорта в городском округе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33 723,34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23 851,16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23 853,78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"Развитие физической культуры и массового спорта"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18 568,89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11 425,99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11 364,92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"Всероссийского физкультурно-спортивного комплекса "Готов к труду и обороне" (ГТО)"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Организация работы центра тестирования по выполнению видов испытаний (тестов), нормативов "Всероссийского физкультурно-спортивного комплекса "Готов к труду и обороне</w:t>
            </w:r>
            <w:proofErr w:type="gramStart"/>
            <w:r w:rsidRPr="005C4FEB">
              <w:rPr>
                <w:bCs/>
                <w:snapToGrid/>
                <w:color w:val="000000"/>
                <w:sz w:val="24"/>
                <w:szCs w:val="24"/>
              </w:rPr>
              <w:t>"(</w:t>
            </w:r>
            <w:proofErr w:type="gramEnd"/>
            <w:r w:rsidRPr="005C4FEB">
              <w:rPr>
                <w:bCs/>
                <w:snapToGrid/>
                <w:color w:val="000000"/>
                <w:sz w:val="24"/>
                <w:szCs w:val="24"/>
              </w:rPr>
              <w:t>ГТО)"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4310110990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302,20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"Физическое воспитание и обеспечение организации и проведения физкультурных и спортивных мероприятий"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4310200000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833,00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4310200150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833,00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Реконструкция и ремонт спортивных площадок, подготовка, заливка и содержание катков в зимний период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4310310100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доступа к объектам спорта"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4310600000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17 133,69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11 425,99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11 364,92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4310600020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7 095,61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1 387,91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1 326,83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доступа к объектам спорта для свободного пользования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4310611790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10 038,08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10 038,08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10 038,08</w:t>
            </w:r>
          </w:p>
        </w:tc>
      </w:tr>
      <w:tr w:rsidR="005C4FEB" w:rsidRPr="005C4FEB" w:rsidTr="00791D89">
        <w:trPr>
          <w:trHeight w:val="51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"Развитие системы подготовки спортивного резерва"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12 265,07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9 535,78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9 599,48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"Реализация программ спортивной подготовки и мероприятия по их реализации в муниципальных организациях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12 265,07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9 535,78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9 599,48</w:t>
            </w:r>
          </w:p>
        </w:tc>
      </w:tr>
      <w:tr w:rsidR="005C4FEB" w:rsidRPr="005C4FEB" w:rsidTr="00791D89">
        <w:trPr>
          <w:trHeight w:val="324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4320100020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1 329,30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260,01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323,71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и проведение спортивных мероприятий в рамках муниципального задания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4320100620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Спортивная подготовка по олимпийским и неолимпийским видам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4320110960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9 275,77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9 275,77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9 275,77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Участие футбольных команд городского округа Кинешма в областных и городских Первенствах и Чемпионатах по футболу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4320111800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4330000000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</w:tr>
      <w:tr w:rsidR="005C4FEB" w:rsidRPr="005C4FEB" w:rsidTr="00791D89">
        <w:trPr>
          <w:trHeight w:val="153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"Повышение эффективности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4330100000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4330100360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</w:tr>
      <w:tr w:rsidR="005C4FEB" w:rsidRPr="005C4FEB" w:rsidTr="00791D89">
        <w:trPr>
          <w:trHeight w:val="127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"Реализация социальной и молодежной политики в городском округе Кинешма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"Поддержка отдельных категорий граждан городского округа Кинешма"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"Формирование доступной среды жизнедеятельности для инвалидов"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доступности зданий и сооружений для инвалидов и других маломобильных групп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4410411780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765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30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020"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2A642E">
        <w:trPr>
          <w:trHeight w:val="255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87 077,63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64 940,24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65 593,88</w:t>
            </w:r>
          </w:p>
        </w:tc>
      </w:tr>
    </w:tbl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791D89" w:rsidRDefault="00791D89" w:rsidP="00811C26">
      <w:pPr>
        <w:jc w:val="center"/>
        <w:rPr>
          <w:b/>
        </w:rPr>
      </w:pPr>
    </w:p>
    <w:p w:rsidR="00811C26" w:rsidRPr="00515428" w:rsidRDefault="00811C26" w:rsidP="00811C26">
      <w:pPr>
        <w:jc w:val="center"/>
        <w:rPr>
          <w:b/>
        </w:rPr>
      </w:pPr>
      <w:r w:rsidRPr="00515428">
        <w:rPr>
          <w:b/>
        </w:rPr>
        <w:lastRenderedPageBreak/>
        <w:t xml:space="preserve">Администрация городского округа Кинешма </w:t>
      </w:r>
    </w:p>
    <w:p w:rsidR="00811C26" w:rsidRDefault="00811C26" w:rsidP="00811C26">
      <w:pPr>
        <w:jc w:val="center"/>
        <w:rPr>
          <w:b/>
        </w:rPr>
      </w:pPr>
      <w:r w:rsidRPr="00515428">
        <w:rPr>
          <w:b/>
        </w:rPr>
        <w:t>(код главного распорядителя бюджетных средств 961)</w:t>
      </w:r>
    </w:p>
    <w:p w:rsidR="00603CC8" w:rsidRDefault="00603CC8" w:rsidP="00811C26">
      <w:pPr>
        <w:jc w:val="center"/>
        <w:rPr>
          <w:b/>
        </w:rPr>
      </w:pPr>
    </w:p>
    <w:p w:rsidR="00811C26" w:rsidRDefault="00811C26" w:rsidP="00811C26">
      <w:pPr>
        <w:ind w:firstLine="708"/>
        <w:jc w:val="both"/>
      </w:pPr>
      <w:r>
        <w:t>А</w:t>
      </w:r>
      <w:r w:rsidRPr="00FF3A20">
        <w:t>дминистрация городского округ</w:t>
      </w:r>
      <w:r>
        <w:t xml:space="preserve">а Кинешма (далее Администрация), является органом местного самоуправления, </w:t>
      </w:r>
      <w:r w:rsidRPr="006E1C75">
        <w:t>надел</w:t>
      </w:r>
      <w:r>
        <w:t>енная</w:t>
      </w:r>
      <w:r w:rsidRPr="006E1C75"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Ивановской области.</w:t>
      </w:r>
    </w:p>
    <w:p w:rsidR="00811C26" w:rsidRDefault="00811C26" w:rsidP="00811C26">
      <w:pPr>
        <w:ind w:firstLine="851"/>
        <w:jc w:val="both"/>
      </w:pPr>
      <w:r>
        <w:t>А</w:t>
      </w:r>
      <w:r w:rsidRPr="00BB0E34">
        <w:t>дминистраци</w:t>
      </w:r>
      <w:r>
        <w:t>я</w:t>
      </w:r>
      <w:r w:rsidRPr="00BB0E34">
        <w:t xml:space="preserve"> </w:t>
      </w:r>
      <w:r>
        <w:t xml:space="preserve">выполняет </w:t>
      </w:r>
      <w:r w:rsidRPr="00BB0E34">
        <w:t>функции, направленные на обеспечени</w:t>
      </w:r>
      <w:r>
        <w:t>е поступления сре</w:t>
      </w:r>
      <w:proofErr w:type="gramStart"/>
      <w:r>
        <w:t xml:space="preserve">дств в </w:t>
      </w:r>
      <w:r w:rsidRPr="00BB0E34">
        <w:t>б</w:t>
      </w:r>
      <w:proofErr w:type="gramEnd"/>
      <w:r w:rsidRPr="00BB0E34">
        <w:t>юджет</w:t>
      </w:r>
      <w:r>
        <w:t xml:space="preserve"> городского округа Кинешма по администрируемым доходам: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Государственная пошлина за выдачу разрешения на установку рекламной конструкции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1425D5">
        <w:rPr>
          <w:snapToGrid/>
        </w:rPr>
        <w:t>,</w:t>
      </w:r>
    </w:p>
    <w:p w:rsidR="00811C26" w:rsidRPr="001425D5" w:rsidRDefault="00603CC8" w:rsidP="00811C26">
      <w:pPr>
        <w:ind w:firstLine="851"/>
        <w:jc w:val="both"/>
        <w:rPr>
          <w:snapToGrid/>
        </w:rPr>
      </w:pPr>
      <w:r>
        <w:rPr>
          <w:snapToGrid/>
        </w:rPr>
        <w:t xml:space="preserve">- </w:t>
      </w:r>
      <w:r w:rsidR="00811C26" w:rsidRPr="005D5A3C">
        <w:rPr>
          <w:snapToGrid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811C26"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Прочие доходы от компенсации затрат бюджетов городских округов</w:t>
      </w:r>
      <w:r w:rsidRPr="001425D5">
        <w:rPr>
          <w:snapToGrid/>
        </w:rPr>
        <w:t xml:space="preserve">, 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Прочие поступления от денежных взысканий (штрафов) и иных сумм в возмещение ущерба, зачисляемые в бюджеты городских округов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Плата за право на заключение договора на установку и эксплуатацию рекламной конструкции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Плата по договорам на установку и эксплуатацию рекламной конструкции для учета прочих неналоговых доходов бюджетов городских округов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  <w:rPr>
          <w:snapToGrid/>
        </w:rPr>
      </w:pPr>
      <w:r w:rsidRPr="001425D5">
        <w:rPr>
          <w:snapToGrid/>
        </w:rPr>
        <w:t xml:space="preserve">- </w:t>
      </w:r>
      <w:r w:rsidRPr="005D5A3C">
        <w:rPr>
          <w:snapToGrid/>
        </w:rPr>
        <w:t>Плата по договорам на размещение нестационарного объекта для осуществления торговли и оказания услуг на территории городского округа Кинешма для учета прочих неналоговых доходов бюджетов городских округов</w:t>
      </w:r>
      <w:r w:rsidRPr="001425D5">
        <w:rPr>
          <w:snapToGrid/>
        </w:rPr>
        <w:t>,</w:t>
      </w:r>
    </w:p>
    <w:p w:rsidR="00811C26" w:rsidRPr="001425D5" w:rsidRDefault="00811C26" w:rsidP="00811C26">
      <w:pPr>
        <w:ind w:firstLine="851"/>
        <w:jc w:val="both"/>
      </w:pPr>
      <w:r w:rsidRPr="001425D5">
        <w:rPr>
          <w:snapToGrid/>
        </w:rPr>
        <w:t xml:space="preserve">- </w:t>
      </w:r>
      <w:r w:rsidRPr="005D5A3C">
        <w:rPr>
          <w:snapToGrid/>
        </w:rPr>
        <w:t>Прочие неналоговые доходы бюджетов городских округов</w:t>
      </w:r>
      <w:r>
        <w:rPr>
          <w:snapToGrid/>
        </w:rPr>
        <w:t>.</w:t>
      </w:r>
    </w:p>
    <w:p w:rsidR="00811C26" w:rsidRPr="00501857" w:rsidRDefault="00811C26" w:rsidP="00811C26">
      <w:pPr>
        <w:ind w:firstLine="851"/>
        <w:jc w:val="both"/>
      </w:pPr>
      <w:r>
        <w:t>Администрация координирует деятельность МУ «Редакция Радио-Кинешма», МУ ДБО «Радуга»</w:t>
      </w:r>
      <w:r w:rsidR="00785061">
        <w:t>, МУ «МФЦ»</w:t>
      </w:r>
      <w:r>
        <w:t>.</w:t>
      </w:r>
    </w:p>
    <w:p w:rsidR="00791D89" w:rsidRPr="005C4FEB" w:rsidRDefault="00811C26" w:rsidP="00811C26">
      <w:pPr>
        <w:ind w:firstLine="708"/>
        <w:jc w:val="both"/>
      </w:pPr>
      <w:r w:rsidRPr="005C4FEB">
        <w:t xml:space="preserve">В рамках муниципальных программ городского округа Кинешма </w:t>
      </w:r>
      <w:r w:rsidRPr="005C4FEB">
        <w:rPr>
          <w:snapToGrid/>
        </w:rPr>
        <w:t>и непрограммных направлений</w:t>
      </w:r>
      <w:r w:rsidRPr="005C4FEB">
        <w:rPr>
          <w:b/>
        </w:rPr>
        <w:t xml:space="preserve"> </w:t>
      </w:r>
      <w:r w:rsidRPr="005C4FEB">
        <w:t>предусмотрены следующие бюджетные ассигнования:</w:t>
      </w:r>
    </w:p>
    <w:p w:rsidR="00791D89" w:rsidRDefault="00791D89" w:rsidP="00811C26">
      <w:pPr>
        <w:ind w:firstLine="708"/>
        <w:jc w:val="right"/>
      </w:pPr>
    </w:p>
    <w:p w:rsidR="00791D89" w:rsidRDefault="00791D89" w:rsidP="00811C26">
      <w:pPr>
        <w:ind w:firstLine="708"/>
        <w:jc w:val="right"/>
      </w:pPr>
    </w:p>
    <w:p w:rsidR="00791D89" w:rsidRDefault="00791D89" w:rsidP="00811C26">
      <w:pPr>
        <w:ind w:firstLine="708"/>
        <w:jc w:val="right"/>
      </w:pPr>
    </w:p>
    <w:p w:rsidR="00791D89" w:rsidRDefault="00791D89" w:rsidP="00811C26">
      <w:pPr>
        <w:ind w:firstLine="708"/>
        <w:jc w:val="right"/>
      </w:pPr>
    </w:p>
    <w:p w:rsidR="00791D89" w:rsidRDefault="00791D89" w:rsidP="00811C26">
      <w:pPr>
        <w:ind w:firstLine="708"/>
        <w:jc w:val="right"/>
      </w:pPr>
    </w:p>
    <w:p w:rsidR="00791D89" w:rsidRDefault="00791D89" w:rsidP="00811C26">
      <w:pPr>
        <w:ind w:firstLine="708"/>
        <w:jc w:val="right"/>
      </w:pPr>
    </w:p>
    <w:p w:rsidR="00811C26" w:rsidRDefault="00811C26" w:rsidP="00811C26">
      <w:pPr>
        <w:ind w:firstLine="708"/>
        <w:jc w:val="right"/>
      </w:pPr>
      <w:r w:rsidRPr="005C4FEB">
        <w:lastRenderedPageBreak/>
        <w:t>(тыс. руб.)</w:t>
      </w:r>
    </w:p>
    <w:p w:rsidR="00791D89" w:rsidRDefault="00791D89" w:rsidP="00811C26">
      <w:pPr>
        <w:ind w:firstLine="708"/>
        <w:jc w:val="right"/>
      </w:pP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3417"/>
        <w:gridCol w:w="813"/>
        <w:gridCol w:w="1457"/>
        <w:gridCol w:w="1416"/>
        <w:gridCol w:w="1417"/>
        <w:gridCol w:w="1234"/>
      </w:tblGrid>
      <w:tr w:rsidR="005C4FEB" w:rsidRPr="005C4FEB" w:rsidTr="005C4FEB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5C4FEB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5C4FEB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Администрация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203 749,30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182 925,50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88 910,05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"Реализация социальной и молодежной политики в городском округе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7 137,24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5 907,44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5 931,47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"Поддержка отдельных категорий граждан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"Предоставление мер поддержки отдельным категориям работников учреждений социальной сферы"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Предоставление молодому специалисту единовременной денежной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4410140020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"Поддержка отдельных категорий жителей"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Поддержка граждан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4410240110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"Дети города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4420000000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6 478,71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5 907,44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5 931,47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"Отдых и оздоровление детей"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4420200000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6 478,71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5 907,44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5 931,47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4420200020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501,33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98,06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122,08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"Повышение качества отдыха и оздоровления детей на базе муниципального учреждения городского округа Кинешма "Детская база отдыха "Радуга""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4420200330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5 809,38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5 809,38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5 809,38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оздоровления детей (транспортные расходы)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4420240070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"Молодежная политика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4430000000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"Организация работы с молодежью"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4430100000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Организация молодежных мероприятий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4430110260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"Обеспечение качественным жильем, услугами жилищно-коммунального хозяйства населения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89 885,37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96 322,71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2 284,80</w:t>
            </w:r>
          </w:p>
        </w:tc>
      </w:tr>
      <w:tr w:rsidR="005C4FEB" w:rsidRPr="005C4FEB" w:rsidTr="005C4F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"Жилище"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4 881,00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1 694,25</w:t>
            </w:r>
          </w:p>
        </w:tc>
      </w:tr>
      <w:tr w:rsidR="005C4FEB" w:rsidRPr="005C4FEB" w:rsidTr="002A642E">
        <w:trPr>
          <w:trHeight w:val="131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"Создание безопасности и благоприятных условий проживания граждан, организационное и финансовое обеспечение проведения капитального ремонта общего имущества в многоквартирных домах 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4 881,00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1 694,25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Услуги по технической инвентаризации зданий муниципального жилищного фонда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4510110160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Установка общедомовых приборов учета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4510110330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Оказание услуг по изготовлению технических заключений о состоянии строительных конструкций многоквартирных домов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4510110340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Муниципальная поддержка капитального ремонта общего имущества в многоквартирных домах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4510110550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Субсидия на благоустройство придомовых территорий многоквартирных домов из бюджета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4510111640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Оплата коммунальных 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4510120100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572,00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Замена и установка индивидуальных приборов учета (электроэнергии, холодного и горячего водоснабжения, газоснабжения) муниципальных жилых помещениях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4510120110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25,00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45101R0820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8 498,00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4 249,00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1 062,25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"Переселение граждан из аварийного жилищного фонда"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4550000000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59 055,37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91 441,71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590,55</w:t>
            </w:r>
          </w:p>
        </w:tc>
      </w:tr>
      <w:tr w:rsidR="005C4FEB" w:rsidRPr="005C4FEB" w:rsidTr="002A642E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455F300000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59 055,37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91 441,71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590,55</w:t>
            </w:r>
          </w:p>
        </w:tc>
      </w:tr>
      <w:tr w:rsidR="005C4FEB" w:rsidRPr="005C4FEB" w:rsidTr="005C4FEB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455F367483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57 792,10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89 915,23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455F367484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935,93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103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</w:t>
            </w: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>жилищного строительства, за счет средств местного бюджета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lastRenderedPageBreak/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455F36748S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590,55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590,55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Муниципальная программа городского округа Кинешма "Поддержка и развитие малого предпринимательства в городском округе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4700000000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"Поддержка и развитие малого предпринимательства в городском округе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4700100000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Предоставление субсидии на оказание социально-значимых бытовых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4700120160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2A642E">
        <w:trPr>
          <w:trHeight w:val="46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"Профилактика терроризма, минимизация и (или) ликвидация последствий его проявлений в городском округе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антитеррористической защищенности объектов"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4900100000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Установка систем видеонаблюдения (видеокамер) на потенциальных объектах террористических посягательств, обеспечение охраны данных объектов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4900111560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1 001,51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"Благоустройство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"Благоустройство территории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"Содержание территорий общего пользования городских кладбищ и оказание поддержки в связи с погребением невостребованных и неизвестных умерших"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5110200000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Компенсация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5110211080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"Профилактика правонарушений в городском округе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1 468,27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316,27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316,27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"Предупреждение правонарушений и обеспечение экологической безопасности"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5210200000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5210220060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"Противодействие злоупотреблению наркотикам и их незаконному обороту"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5220000000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316,27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316,27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"Оказание мер поддержки народным дружинникам, создание условий для деятельности народной дружины"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5220100000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Оказание мер поддержки народным дружинникам, создание условий для деятельности народной дружины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5220160080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31,61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"Предоставление мер имущественной поддержки некоммерческим организациям, оказывающим помощь в сфере профилактики наркомании и предупреждения правонарушений"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5220500000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Предоставление мер имущественной поддержки некоммерческим организациям, оказывающим помощь в сфере профилактики наркомании и предупреждения правонарушений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5220520010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284,66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"Управление муниципальными финансами и муниципальным долгом"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"Повышение качества управления муниципальными финансами"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5320000000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сбалансированности и устойчивости бюджета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5320100000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Управление муниципальным долгом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5320110270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"Совершенствование местного самоуправления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80 147,76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64 014,00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64 017,70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органов местного самоуправления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79 447,76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63 314,00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63 317,70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"Повышение эффективности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40 853,22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40 853,22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40 853,22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Обеспечение деятельности главы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5410100350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5410100360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39 023,91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39 023,91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39 023,91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"Создание условий для решения вопросов местного значения, иных отдельных государственных полномочий"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1 656,16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1 452,81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1 452,81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5410280350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32,38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5410280360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1 624,19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1 420,43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1 420,43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"Информационное сопровождение органов местного самоуправления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5410400000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2 107,30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2 111,00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5410400020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18,80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населения информацией о деятельности органов местного самоуправления городского округа Кинешма по социально-значимым темам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5410400210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2 092,20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2 092,20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2 092,20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"Информатизация учреждений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5410600000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2 110,87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164,20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164,20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Организация мероприятий по технической защите информации в городском округе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5410611620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1 105,27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92,11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92,11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Развитие и сопровождение отраслевой и ведомственной информационно-телекоммуникационных систем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5410611630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1 005,60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72,10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"Повышение качества и доступности государственных и муниципальных услуг"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5410700000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8 929,16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имущества учреждения в рамках муниципального задания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5410700020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491,05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791D89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муниципального учреждения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5410700660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6 223,87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603CC8">
        <w:trPr>
          <w:trHeight w:val="6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54107S2910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2 214,23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"Обеспечение мероприятий по совершенствованию местного самоуправления городского округа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5410800000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23 728,95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18 736,47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18 736,47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мероприятий по совершенствованию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5410800650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23 728,95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18 736,47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18 736,47</w:t>
            </w:r>
          </w:p>
        </w:tc>
      </w:tr>
      <w:tr w:rsidR="005C4FEB" w:rsidRPr="005C4FEB" w:rsidTr="005C4FE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"Развитие институтов гражданского общества"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5420000000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"Предоставление мер поддержки социально ориентированным некоммерческим организациям и территориальным общественным самоуправлениям"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5420100000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700,00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Субсидирование социально ориентированных некоммерческих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5420120010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400,00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Оказание финансовой поддержки территориальным общественным самоуправлениям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5420160070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300,00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"Охрана окружающей среды"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Основное мероприятие "Ликвидация накопленного вреда окружающей среде"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5500200000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Разработка проектов работ по ликвидации накопленного вреда окружающей среде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55002S5600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Осуществление полномочий по составлению (изменению) списков кандидатов присяжные заседатели федеральных судов общей юрисдикции в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7590000000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7590051200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на поддержку отдельных категорий граждан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</w:tr>
      <w:tr w:rsidR="005C4FEB" w:rsidRPr="005C4FEB" w:rsidTr="005C4F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7690000000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3 205,00</w:t>
            </w:r>
          </w:p>
        </w:tc>
      </w:tr>
      <w:tr w:rsidR="005C4FEB" w:rsidRPr="005C4FEB" w:rsidTr="005C4FE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Пенсионное обеспечение лиц, замещающих выборные муниципальные должности и муниципальные должности муниципальной службы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7690040120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Материальное обеспечение граждан, удостоенных звания "Почетный гражданин города Кинешма"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7690040130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805,00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805,00</w:t>
            </w:r>
          </w:p>
        </w:tc>
      </w:tr>
      <w:tr w:rsidR="005C4FEB" w:rsidRPr="005C4FEB" w:rsidTr="005C4FE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FEB" w:rsidRPr="005C4FEB" w:rsidRDefault="005C4FEB" w:rsidP="005C4FEB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C4FEB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174,09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C4FEB" w:rsidRPr="005C4FEB" w:rsidTr="005C4FEB">
        <w:trPr>
          <w:trHeight w:val="255"/>
        </w:trPr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lastRenderedPageBreak/>
              <w:t xml:space="preserve">Всего расходов: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203 749,30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182 925,50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FEB" w:rsidRPr="005C4FEB" w:rsidRDefault="005C4FEB" w:rsidP="005C4FEB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C4FEB">
              <w:rPr>
                <w:b/>
                <w:bCs/>
                <w:snapToGrid/>
                <w:color w:val="000000"/>
                <w:sz w:val="24"/>
                <w:szCs w:val="24"/>
              </w:rPr>
              <w:t>88 910,05</w:t>
            </w:r>
          </w:p>
        </w:tc>
      </w:tr>
    </w:tbl>
    <w:p w:rsidR="00811C26" w:rsidRDefault="00811C26" w:rsidP="00811C26">
      <w:pPr>
        <w:ind w:firstLine="708"/>
        <w:jc w:val="both"/>
      </w:pPr>
    </w:p>
    <w:p w:rsidR="00811C26" w:rsidRPr="007B30FB" w:rsidRDefault="00811C26" w:rsidP="00811C26">
      <w:pPr>
        <w:jc w:val="center"/>
        <w:rPr>
          <w:rFonts w:eastAsia="Calibri"/>
          <w:b/>
          <w:snapToGrid/>
          <w:lang w:eastAsia="en-US"/>
        </w:rPr>
      </w:pPr>
      <w:r w:rsidRPr="007B30FB">
        <w:rPr>
          <w:rFonts w:eastAsia="Calibri"/>
          <w:b/>
          <w:snapToGrid/>
          <w:lang w:eastAsia="en-US"/>
        </w:rPr>
        <w:t>Городская Дума городского округа Кинешма</w:t>
      </w:r>
    </w:p>
    <w:p w:rsidR="00811C26" w:rsidRDefault="00811C26" w:rsidP="00811C26">
      <w:pPr>
        <w:jc w:val="center"/>
        <w:rPr>
          <w:rFonts w:eastAsia="Calibri"/>
          <w:b/>
          <w:snapToGrid/>
          <w:lang w:eastAsia="en-US"/>
        </w:rPr>
      </w:pPr>
      <w:r w:rsidRPr="007B30FB">
        <w:rPr>
          <w:rFonts w:eastAsia="Calibri"/>
          <w:b/>
          <w:snapToGrid/>
          <w:lang w:eastAsia="en-US"/>
        </w:rPr>
        <w:t>(код главного распорядителя бюджетных средств - 962)</w:t>
      </w:r>
    </w:p>
    <w:p w:rsidR="00791D89" w:rsidRPr="003246C7" w:rsidRDefault="00791D89" w:rsidP="00811C26">
      <w:pPr>
        <w:jc w:val="center"/>
        <w:rPr>
          <w:rFonts w:eastAsia="Calibri"/>
          <w:b/>
          <w:snapToGrid/>
          <w:lang w:eastAsia="en-US"/>
        </w:rPr>
      </w:pPr>
    </w:p>
    <w:p w:rsidR="00811C26" w:rsidRPr="008E3934" w:rsidRDefault="00811C26" w:rsidP="00811C26">
      <w:pPr>
        <w:ind w:firstLine="708"/>
        <w:jc w:val="both"/>
      </w:pPr>
      <w:r w:rsidRPr="008E3934">
        <w:t xml:space="preserve">В рамках </w:t>
      </w:r>
      <w:r w:rsidRPr="008E3934">
        <w:rPr>
          <w:snapToGrid/>
        </w:rPr>
        <w:t>непрограммных направлений городской Думе</w:t>
      </w:r>
      <w:r w:rsidRPr="008E3934">
        <w:rPr>
          <w:b/>
        </w:rPr>
        <w:t xml:space="preserve"> </w:t>
      </w:r>
      <w:r w:rsidR="00603CC8" w:rsidRPr="00603CC8">
        <w:t xml:space="preserve">городского округа Кинешма </w:t>
      </w:r>
      <w:r w:rsidRPr="00603CC8">
        <w:t>предусмотрены следующие бюджетные ассигнова</w:t>
      </w:r>
      <w:r w:rsidRPr="008E3934">
        <w:t>ния:</w:t>
      </w:r>
    </w:p>
    <w:p w:rsidR="00811C26" w:rsidRDefault="00811C26" w:rsidP="00811C26">
      <w:pPr>
        <w:ind w:firstLine="708"/>
        <w:jc w:val="right"/>
      </w:pPr>
      <w:r w:rsidRPr="008E3934">
        <w:t>(тыс. руб.)</w:t>
      </w:r>
    </w:p>
    <w:p w:rsidR="00791D89" w:rsidRPr="008E3934" w:rsidRDefault="00791D89" w:rsidP="00811C26">
      <w:pPr>
        <w:ind w:firstLine="708"/>
        <w:jc w:val="right"/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15"/>
        <w:gridCol w:w="818"/>
        <w:gridCol w:w="1416"/>
        <w:gridCol w:w="1237"/>
        <w:gridCol w:w="1237"/>
        <w:gridCol w:w="1237"/>
      </w:tblGrid>
      <w:tr w:rsidR="008E3934" w:rsidRPr="008E3934" w:rsidTr="008E3934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8E3934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8E3934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8E3934" w:rsidRPr="008E3934" w:rsidTr="008E3934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городская Дума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3934" w:rsidRPr="008E3934" w:rsidRDefault="008E3934" w:rsidP="008E3934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6 615,79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  <w:tr w:rsidR="008E3934" w:rsidRPr="008E3934" w:rsidTr="008E3934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городской Думы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6 615,79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  <w:tr w:rsidR="008E3934" w:rsidRPr="008E3934" w:rsidTr="008E3934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    городская Дума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7010000000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6 615,79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  <w:tr w:rsidR="008E3934" w:rsidRPr="008E3934" w:rsidTr="008E3934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7010000370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18,28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8E3934" w:rsidRPr="008E3934" w:rsidTr="00E13F18">
        <w:trPr>
          <w:trHeight w:val="466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            Обеспечение функционирования председателя городской Думы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7010000430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1 474,78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1 474,78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1 474,78</w:t>
            </w:r>
          </w:p>
        </w:tc>
      </w:tr>
      <w:tr w:rsidR="008E3934" w:rsidRPr="008E3934" w:rsidTr="008E3934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934" w:rsidRPr="008E3934" w:rsidRDefault="008E3934" w:rsidP="008E3934">
            <w:pPr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 xml:space="preserve">              Обеспечение функционирования аппарата городской Думы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center"/>
              <w:outlineLvl w:val="5"/>
              <w:rPr>
                <w:snapToGrid/>
                <w:color w:val="000000"/>
                <w:sz w:val="24"/>
                <w:szCs w:val="24"/>
              </w:rPr>
            </w:pPr>
            <w:r w:rsidRPr="008E3934">
              <w:rPr>
                <w:snapToGrid/>
                <w:color w:val="000000"/>
                <w:sz w:val="24"/>
                <w:szCs w:val="24"/>
              </w:rPr>
              <w:t>7010000440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5 122,74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5 122,74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outlineLvl w:val="5"/>
              <w:rPr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Cs/>
                <w:snapToGrid/>
                <w:color w:val="000000"/>
                <w:sz w:val="24"/>
                <w:szCs w:val="24"/>
              </w:rPr>
              <w:t>5 122,74</w:t>
            </w:r>
          </w:p>
        </w:tc>
      </w:tr>
      <w:tr w:rsidR="008E3934" w:rsidRPr="008E3934" w:rsidTr="008E3934">
        <w:trPr>
          <w:trHeight w:val="255"/>
        </w:trPr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34" w:rsidRPr="008E3934" w:rsidRDefault="008E3934" w:rsidP="008E3934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/>
                <w:bCs/>
                <w:snapToGrid/>
                <w:color w:val="000000"/>
                <w:sz w:val="24"/>
                <w:szCs w:val="24"/>
              </w:rPr>
              <w:t>6 615,79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/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934" w:rsidRPr="008E3934" w:rsidRDefault="008E3934" w:rsidP="008E3934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8E3934">
              <w:rPr>
                <w:b/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</w:tbl>
    <w:p w:rsidR="00811C26" w:rsidRDefault="00811C26" w:rsidP="00811C26">
      <w:pPr>
        <w:ind w:firstLine="708"/>
        <w:jc w:val="right"/>
      </w:pPr>
    </w:p>
    <w:p w:rsidR="00811C26" w:rsidRPr="007B30FB" w:rsidRDefault="00811C26" w:rsidP="00811C26">
      <w:pPr>
        <w:jc w:val="center"/>
        <w:rPr>
          <w:rFonts w:eastAsia="Calibri"/>
          <w:b/>
          <w:snapToGrid/>
          <w:lang w:eastAsia="en-US"/>
        </w:rPr>
      </w:pPr>
      <w:r w:rsidRPr="007B30FB">
        <w:rPr>
          <w:rFonts w:eastAsia="Calibri"/>
          <w:b/>
          <w:snapToGrid/>
          <w:lang w:eastAsia="en-US"/>
        </w:rPr>
        <w:t>Контрольно-счетная комиссия городского округа Кинешма</w:t>
      </w:r>
    </w:p>
    <w:p w:rsidR="00811C26" w:rsidRPr="003246C7" w:rsidRDefault="00811C26" w:rsidP="00811C26">
      <w:pPr>
        <w:jc w:val="center"/>
        <w:rPr>
          <w:rFonts w:eastAsia="Calibri"/>
          <w:b/>
          <w:snapToGrid/>
          <w:lang w:eastAsia="en-US"/>
        </w:rPr>
      </w:pPr>
      <w:r w:rsidRPr="007B30FB">
        <w:rPr>
          <w:rFonts w:eastAsia="Calibri"/>
          <w:b/>
          <w:snapToGrid/>
          <w:lang w:eastAsia="en-US"/>
        </w:rPr>
        <w:t>(код главного распорядителя бюджетных средств - 963)</w:t>
      </w:r>
    </w:p>
    <w:p w:rsidR="00811C26" w:rsidRDefault="00811C26" w:rsidP="00811C26">
      <w:pPr>
        <w:ind w:firstLine="708"/>
        <w:jc w:val="both"/>
      </w:pPr>
      <w:r w:rsidRPr="00D73316">
        <w:t xml:space="preserve">В рамках </w:t>
      </w:r>
      <w:r w:rsidRPr="00D73316">
        <w:rPr>
          <w:snapToGrid/>
        </w:rPr>
        <w:t xml:space="preserve">непрограммных направлений контрольно-счетной комиссии </w:t>
      </w:r>
      <w:r w:rsidRPr="00D73316">
        <w:rPr>
          <w:b/>
        </w:rPr>
        <w:t xml:space="preserve"> </w:t>
      </w:r>
      <w:r w:rsidRPr="00D73316">
        <w:t>предусмотрены следующие бюджетные ассигнования:</w:t>
      </w:r>
    </w:p>
    <w:p w:rsidR="00475063" w:rsidRDefault="008E3934" w:rsidP="008E3934">
      <w:pPr>
        <w:ind w:firstLine="708"/>
        <w:jc w:val="right"/>
      </w:pPr>
      <w:r w:rsidRPr="00D73316">
        <w:t>(тыс. руб.)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15"/>
        <w:gridCol w:w="818"/>
        <w:gridCol w:w="1416"/>
        <w:gridCol w:w="1237"/>
        <w:gridCol w:w="1237"/>
        <w:gridCol w:w="1237"/>
      </w:tblGrid>
      <w:tr w:rsidR="00D73316" w:rsidRPr="00D73316" w:rsidTr="00791D89">
        <w:trPr>
          <w:trHeight w:val="85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2A642E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D73316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D73316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D73316" w:rsidRPr="00D73316" w:rsidTr="00791D89">
        <w:trPr>
          <w:trHeight w:val="51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 xml:space="preserve">  Контрольно-счетная комиссия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1 978,43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</w:tr>
      <w:tr w:rsidR="00D73316" w:rsidRPr="00D73316" w:rsidTr="00791D89">
        <w:trPr>
          <w:trHeight w:val="324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Контрольно-счетной комиссии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1 978,43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</w:tr>
      <w:tr w:rsidR="00D73316" w:rsidRPr="00D73316" w:rsidTr="00791D89">
        <w:trPr>
          <w:trHeight w:val="51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 xml:space="preserve">      Контрольно-счетной комиссии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1 978,43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</w:tr>
      <w:tr w:rsidR="00D73316" w:rsidRPr="00D73316" w:rsidTr="00791D89">
        <w:trPr>
          <w:trHeight w:val="102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7110000370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D73316" w:rsidRPr="00D73316" w:rsidTr="00791D89">
        <w:trPr>
          <w:trHeight w:val="102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функционирования Председателя Контрольно-счетной комиссии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7110000460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1 004,00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1 004,00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1 004,00</w:t>
            </w:r>
          </w:p>
        </w:tc>
      </w:tr>
      <w:tr w:rsidR="00D73316" w:rsidRPr="00D73316" w:rsidTr="00791D89">
        <w:trPr>
          <w:trHeight w:val="1020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316" w:rsidRPr="00D73316" w:rsidRDefault="00D73316" w:rsidP="00D7331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функционирования членов и аппарата Контрольно-счетной комиссии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D73316">
              <w:rPr>
                <w:snapToGrid/>
                <w:color w:val="000000"/>
                <w:sz w:val="24"/>
                <w:szCs w:val="24"/>
              </w:rPr>
              <w:t>7110000470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966,74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966,74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Cs/>
                <w:snapToGrid/>
                <w:color w:val="000000"/>
                <w:sz w:val="24"/>
                <w:szCs w:val="24"/>
              </w:rPr>
              <w:t>966,74</w:t>
            </w:r>
          </w:p>
        </w:tc>
      </w:tr>
      <w:tr w:rsidR="00D73316" w:rsidRPr="00D73316" w:rsidTr="00D73316">
        <w:trPr>
          <w:trHeight w:val="255"/>
        </w:trPr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16" w:rsidRPr="00D73316" w:rsidRDefault="00D73316" w:rsidP="00D7331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/>
                <w:bCs/>
                <w:snapToGrid/>
                <w:color w:val="000000"/>
                <w:sz w:val="24"/>
                <w:szCs w:val="24"/>
              </w:rPr>
              <w:t>1 978,43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/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16" w:rsidRPr="00D73316" w:rsidRDefault="00D73316" w:rsidP="00D7331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D73316">
              <w:rPr>
                <w:b/>
                <w:bCs/>
                <w:snapToGrid/>
                <w:color w:val="000000"/>
                <w:sz w:val="24"/>
                <w:szCs w:val="24"/>
              </w:rPr>
              <w:t>1 970,73</w:t>
            </w:r>
          </w:p>
        </w:tc>
      </w:tr>
    </w:tbl>
    <w:p w:rsidR="00475063" w:rsidRPr="00785061" w:rsidRDefault="00475063" w:rsidP="00811C26">
      <w:pPr>
        <w:ind w:firstLine="708"/>
        <w:jc w:val="both"/>
        <w:rPr>
          <w:highlight w:val="yellow"/>
        </w:rPr>
      </w:pPr>
    </w:p>
    <w:p w:rsidR="00811C26" w:rsidRPr="00515428" w:rsidRDefault="00811C26" w:rsidP="00811C26">
      <w:pPr>
        <w:jc w:val="center"/>
        <w:rPr>
          <w:b/>
        </w:rPr>
      </w:pPr>
      <w:r w:rsidRPr="00515428">
        <w:rPr>
          <w:b/>
        </w:rPr>
        <w:t>Комитет имущественных и земельных отношений</w:t>
      </w:r>
    </w:p>
    <w:p w:rsidR="00811C26" w:rsidRPr="00515428" w:rsidRDefault="00811C26" w:rsidP="00811C26">
      <w:pPr>
        <w:jc w:val="center"/>
        <w:rPr>
          <w:b/>
        </w:rPr>
      </w:pPr>
      <w:r w:rsidRPr="00515428">
        <w:rPr>
          <w:b/>
        </w:rPr>
        <w:t xml:space="preserve">администрации городского округа Кинешма </w:t>
      </w:r>
    </w:p>
    <w:p w:rsidR="00811C26" w:rsidRDefault="00811C26" w:rsidP="00811C26">
      <w:pPr>
        <w:jc w:val="center"/>
        <w:rPr>
          <w:b/>
        </w:rPr>
      </w:pPr>
      <w:r w:rsidRPr="00515428">
        <w:rPr>
          <w:b/>
        </w:rPr>
        <w:t>(код главного распорядителя бюджетных средств 965)</w:t>
      </w:r>
    </w:p>
    <w:p w:rsidR="00811C26" w:rsidRDefault="00811C26" w:rsidP="00811C26">
      <w:pPr>
        <w:ind w:firstLine="851"/>
        <w:jc w:val="both"/>
      </w:pPr>
      <w:r w:rsidRPr="00BB0E34">
        <w:t>Комитет имущественных и земельных отношений администрации горо</w:t>
      </w:r>
      <w:r>
        <w:t xml:space="preserve">дского округа Кинешма выполняет </w:t>
      </w:r>
      <w:r w:rsidRPr="00BB0E34">
        <w:t>функции, направленные на обеспечени</w:t>
      </w:r>
      <w:r>
        <w:t>е поступления сре</w:t>
      </w:r>
      <w:proofErr w:type="gramStart"/>
      <w:r>
        <w:t xml:space="preserve">дств в </w:t>
      </w:r>
      <w:r w:rsidRPr="00BB0E34">
        <w:t>б</w:t>
      </w:r>
      <w:proofErr w:type="gramEnd"/>
      <w:r w:rsidRPr="00BB0E34">
        <w:t>юджет</w:t>
      </w:r>
      <w:r>
        <w:t xml:space="preserve"> городского округа Кинешма по администрируемым неналоговым доходам.</w:t>
      </w:r>
    </w:p>
    <w:p w:rsidR="00811C26" w:rsidRPr="00BB0E34" w:rsidRDefault="00811C26" w:rsidP="00811C26">
      <w:pPr>
        <w:ind w:firstLine="851"/>
        <w:jc w:val="both"/>
      </w:pPr>
      <w:r>
        <w:t xml:space="preserve">Доходы </w:t>
      </w:r>
      <w:r w:rsidRPr="00BB0E34">
        <w:t>бюджета</w:t>
      </w:r>
      <w:r>
        <w:t xml:space="preserve"> городского округа Кинешма</w:t>
      </w:r>
      <w:r w:rsidRPr="00BB0E34">
        <w:t xml:space="preserve"> от использования нежилого сектора муниципальной собственности включа</w:t>
      </w:r>
      <w:r>
        <w:t>ю</w:t>
      </w:r>
      <w:r w:rsidRPr="00BB0E34">
        <w:t>т:</w:t>
      </w:r>
    </w:p>
    <w:p w:rsidR="00811C26" w:rsidRPr="00BB0E34" w:rsidRDefault="00811C26" w:rsidP="00811C26">
      <w:pPr>
        <w:ind w:firstLine="851"/>
        <w:jc w:val="both"/>
      </w:pPr>
      <w:r w:rsidRPr="00BB0E34">
        <w:t>-приватизация муниципального имущества;</w:t>
      </w:r>
    </w:p>
    <w:p w:rsidR="00811C26" w:rsidRPr="00BB0E34" w:rsidRDefault="00811C26" w:rsidP="00811C26">
      <w:pPr>
        <w:ind w:firstLine="851"/>
        <w:jc w:val="both"/>
      </w:pPr>
      <w:r w:rsidRPr="00BB0E34">
        <w:t>-продажа земельных участков;</w:t>
      </w:r>
    </w:p>
    <w:p w:rsidR="00811C26" w:rsidRPr="00BB0E34" w:rsidRDefault="00811C26" w:rsidP="00811C26">
      <w:pPr>
        <w:ind w:firstLine="851"/>
        <w:jc w:val="both"/>
      </w:pPr>
      <w:r w:rsidRPr="00BB0E34">
        <w:t>-сдача в аренду муниципального имущества;</w:t>
      </w:r>
    </w:p>
    <w:p w:rsidR="00811C26" w:rsidRPr="00BB0E34" w:rsidRDefault="00811C26" w:rsidP="00811C26">
      <w:pPr>
        <w:ind w:firstLine="851"/>
        <w:jc w:val="both"/>
      </w:pPr>
      <w:r w:rsidRPr="00BB0E34">
        <w:t>-сдача в аренду земельных участков;</w:t>
      </w:r>
    </w:p>
    <w:p w:rsidR="00811C26" w:rsidRPr="00BB0E34" w:rsidRDefault="00811C26" w:rsidP="00811C26">
      <w:pPr>
        <w:ind w:firstLine="851"/>
        <w:jc w:val="both"/>
      </w:pPr>
      <w:r w:rsidRPr="00BB0E34">
        <w:t>-прочие доходы</w:t>
      </w:r>
      <w:r>
        <w:t>.</w:t>
      </w:r>
    </w:p>
    <w:p w:rsidR="00811C26" w:rsidRPr="005A67C6" w:rsidRDefault="00811C26" w:rsidP="00811C26">
      <w:pPr>
        <w:ind w:firstLine="708"/>
        <w:jc w:val="both"/>
      </w:pPr>
      <w:r w:rsidRPr="005A67C6">
        <w:t xml:space="preserve">В рамках муниципальных программ </w:t>
      </w:r>
      <w:r w:rsidR="008E3934" w:rsidRPr="005A67C6">
        <w:t xml:space="preserve">и непрограммных мероприятий </w:t>
      </w:r>
      <w:r w:rsidRPr="005A67C6">
        <w:t>городского округа Кинешма комитету имущественных и земельных отношений предусмотрены следующие бюджетные ассигнования:</w:t>
      </w:r>
    </w:p>
    <w:p w:rsidR="00811C26" w:rsidRDefault="00811C26" w:rsidP="00811C26">
      <w:pPr>
        <w:ind w:firstLine="851"/>
        <w:jc w:val="right"/>
      </w:pPr>
      <w:r w:rsidRPr="005A67C6">
        <w:t>(</w:t>
      </w:r>
      <w:r w:rsidR="005A67C6">
        <w:t>тыс.</w:t>
      </w:r>
      <w:r w:rsidRPr="005A67C6">
        <w:t xml:space="preserve"> руб.)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12"/>
        <w:gridCol w:w="818"/>
        <w:gridCol w:w="1416"/>
        <w:gridCol w:w="1238"/>
        <w:gridCol w:w="1238"/>
        <w:gridCol w:w="1238"/>
      </w:tblGrid>
      <w:tr w:rsidR="005A67C6" w:rsidRPr="005A67C6" w:rsidTr="005A67C6">
        <w:trPr>
          <w:trHeight w:val="855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2A642E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>
              <w:rPr>
                <w:snapToGrid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proofErr w:type="spellStart"/>
            <w:r w:rsidRPr="005A67C6">
              <w:rPr>
                <w:snapToGrid/>
                <w:color w:val="000000"/>
                <w:sz w:val="24"/>
                <w:szCs w:val="24"/>
              </w:rPr>
              <w:t>Ц.ст</w:t>
            </w:r>
            <w:proofErr w:type="spellEnd"/>
            <w:r w:rsidRPr="005A67C6">
              <w:rPr>
                <w:snapToGrid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5A67C6" w:rsidRPr="005A67C6" w:rsidTr="005A67C6">
        <w:trPr>
          <w:trHeight w:val="76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Комитет имущественных и земельных отношений администрации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10 700,42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</w:tr>
      <w:tr w:rsidR="005A67C6" w:rsidRPr="005A67C6" w:rsidTr="005A67C6">
        <w:trPr>
          <w:trHeight w:val="153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"Профилактика терроризма, минимизация и (или) ликвидация последствий его проявлений в городском округе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"Управление и распоряжение муниципальным имуществом городского округа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4900200000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        Оплата за услуги охраны объектов недвижимости, входящих в состав имущества муниципальной казны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4900211440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1 004,34</w:t>
            </w:r>
          </w:p>
        </w:tc>
      </w:tr>
      <w:tr w:rsidR="005A67C6" w:rsidRPr="005A67C6" w:rsidTr="005A67C6">
        <w:trPr>
          <w:trHeight w:val="127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Муниципальная программа городского округа Кинешма "Управление муниципальным имуществом в городском округе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9 665,30</w:t>
            </w:r>
          </w:p>
        </w:tc>
      </w:tr>
      <w:tr w:rsidR="005A67C6" w:rsidRPr="005A67C6" w:rsidTr="005A67C6">
        <w:trPr>
          <w:trHeight w:val="127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деятельности комитета имущественных и земельных отношений администрации городского округа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</w:tr>
      <w:tr w:rsidR="005A67C6" w:rsidRPr="005A67C6" w:rsidTr="005A67C6">
        <w:trPr>
          <w:trHeight w:val="127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"Финансовое обеспечение комитета имущественных и земельных отношений администрации городского округа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5010100000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5010100360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6 606,09</w:t>
            </w:r>
          </w:p>
        </w:tc>
      </w:tr>
      <w:tr w:rsidR="005A67C6" w:rsidRPr="005A67C6" w:rsidTr="005A67C6">
        <w:trPr>
          <w:trHeight w:val="76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Подпрограмма "Обеспечение приватизации и содержание имущества муниципальной казны"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Основное мероприятие "Управление и распоряжение муниципальным имуществом городского округа Кинешма"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3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5020100000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3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3 059,21</w:t>
            </w:r>
          </w:p>
        </w:tc>
      </w:tr>
      <w:tr w:rsidR="005A67C6" w:rsidRPr="005A67C6" w:rsidTr="005A67C6">
        <w:trPr>
          <w:trHeight w:val="76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  Обеспечение приватизации и проведение предпродажной подготовки объектов недвижимости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5020110220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263,80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263,80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263,80</w:t>
            </w:r>
          </w:p>
        </w:tc>
      </w:tr>
      <w:tr w:rsidR="005A67C6" w:rsidRPr="005A67C6" w:rsidTr="005A67C6">
        <w:trPr>
          <w:trHeight w:val="76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  Содержание объектов недвижимости, входящих в состав имущества муниципальной казны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5020110230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2 678,84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2 678,84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2 678,84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  Эффективное управление, распоряжение имуществом, входящего в состав имущества муниципальной казны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5020110240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116,57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116,57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116,57</w:t>
            </w:r>
          </w:p>
        </w:tc>
      </w:tr>
      <w:tr w:rsidR="005A67C6" w:rsidRPr="005A67C6" w:rsidTr="005A67C6">
        <w:trPr>
          <w:trHeight w:val="765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Непрограммные направления деятельности бюджета городского округа Кинешма по прочим расходам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A67C6" w:rsidRPr="005A67C6" w:rsidTr="005A67C6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Иные непрограммные направления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1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8090000000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1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A67C6" w:rsidRPr="005A67C6" w:rsidTr="005A67C6">
        <w:trPr>
          <w:trHeight w:val="10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7C6" w:rsidRPr="005A67C6" w:rsidRDefault="005A67C6" w:rsidP="005A67C6">
            <w:pPr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 xml:space="preserve">            Проведение диспансеризации работников муниципальных учреждений городского округа Кинешма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center"/>
              <w:outlineLvl w:val="4"/>
              <w:rPr>
                <w:snapToGrid/>
                <w:color w:val="000000"/>
                <w:sz w:val="24"/>
                <w:szCs w:val="24"/>
              </w:rPr>
            </w:pPr>
            <w:r w:rsidRPr="005A67C6">
              <w:rPr>
                <w:snapToGrid/>
                <w:color w:val="000000"/>
                <w:sz w:val="24"/>
                <w:szCs w:val="24"/>
              </w:rPr>
              <w:t>8090000370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outlineLvl w:val="4"/>
              <w:rPr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5A67C6" w:rsidRPr="005A67C6" w:rsidTr="005A67C6">
        <w:trPr>
          <w:trHeight w:val="255"/>
        </w:trPr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6" w:rsidRPr="005A67C6" w:rsidRDefault="005A67C6" w:rsidP="005A67C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/>
                <w:bCs/>
                <w:snapToGrid/>
                <w:color w:val="000000"/>
                <w:sz w:val="24"/>
                <w:szCs w:val="24"/>
              </w:rPr>
              <w:t>10 700,42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/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7C6" w:rsidRPr="005A67C6" w:rsidRDefault="005A67C6" w:rsidP="005A67C6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5A67C6">
              <w:rPr>
                <w:b/>
                <w:bCs/>
                <w:snapToGrid/>
                <w:color w:val="000000"/>
                <w:sz w:val="24"/>
                <w:szCs w:val="24"/>
              </w:rPr>
              <w:t>10 669,64</w:t>
            </w:r>
          </w:p>
        </w:tc>
      </w:tr>
    </w:tbl>
    <w:p w:rsidR="00C764DB" w:rsidRDefault="00C764DB" w:rsidP="00C764DB">
      <w:pPr>
        <w:tabs>
          <w:tab w:val="num" w:pos="709"/>
        </w:tabs>
        <w:jc w:val="both"/>
      </w:pPr>
    </w:p>
    <w:p w:rsidR="00C764DB" w:rsidRPr="00BD4EC4" w:rsidRDefault="00C764DB" w:rsidP="00C764DB">
      <w:pPr>
        <w:tabs>
          <w:tab w:val="num" w:pos="709"/>
        </w:tabs>
        <w:jc w:val="both"/>
      </w:pPr>
      <w:bookmarkStart w:id="0" w:name="_GoBack"/>
      <w:bookmarkEnd w:id="0"/>
      <w:r>
        <w:lastRenderedPageBreak/>
        <w:tab/>
        <w:t>Бюджетные ассигнования проекта бюджета городского округа Кинешма</w:t>
      </w:r>
      <w:r w:rsidRPr="00BD4EC4">
        <w:t xml:space="preserve"> </w:t>
      </w:r>
      <w:r>
        <w:t xml:space="preserve">сформированы с учетом следующих </w:t>
      </w:r>
      <w:r w:rsidRPr="00BD4EC4">
        <w:t>особенностей:</w:t>
      </w:r>
    </w:p>
    <w:p w:rsidR="00C764DB" w:rsidRPr="00BD4EC4" w:rsidRDefault="00C764DB" w:rsidP="00C764DB">
      <w:pPr>
        <w:ind w:firstLine="705"/>
        <w:jc w:val="both"/>
      </w:pPr>
      <w:r w:rsidRPr="00BD4EC4">
        <w:t>1. Формирование фонда оплаты труда (далее – ФОТ) осуществл</w:t>
      </w:r>
      <w:r w:rsidR="00CB56B4">
        <w:t>ено</w:t>
      </w:r>
      <w:r w:rsidRPr="00BD4EC4">
        <w:t xml:space="preserve"> исходя из штатной численности работников муниципальных учреждений текущего года, положений действующего трудового законодательства, положений об оплате труда, а также:</w:t>
      </w:r>
    </w:p>
    <w:p w:rsidR="00C764DB" w:rsidRPr="00BD4EC4" w:rsidRDefault="00C764DB" w:rsidP="00C764DB">
      <w:pPr>
        <w:ind w:firstLine="705"/>
        <w:jc w:val="both"/>
      </w:pPr>
      <w:r w:rsidRPr="00BD4EC4">
        <w:t xml:space="preserve"> с учетом планируемого минимального </w:t>
      </w:r>
      <w:proofErr w:type="gramStart"/>
      <w:r w:rsidRPr="00BD4EC4">
        <w:t>размера оплаты труда</w:t>
      </w:r>
      <w:proofErr w:type="gramEnd"/>
      <w:r w:rsidRPr="00BD4EC4">
        <w:t xml:space="preserve"> на уровне 13617 руб., повышения окладов на 4%,</w:t>
      </w:r>
    </w:p>
    <w:p w:rsidR="00C764DB" w:rsidRPr="00BD4EC4" w:rsidRDefault="00C764DB" w:rsidP="00C764DB">
      <w:pPr>
        <w:ind w:firstLine="705"/>
        <w:jc w:val="both"/>
      </w:pPr>
      <w:r w:rsidRPr="00BD4EC4">
        <w:t xml:space="preserve">  без учета должностей, содержание которых полностью осуществляется за счет доходов от приносящей доход деятельности, а также,</w:t>
      </w:r>
    </w:p>
    <w:p w:rsidR="00C764DB" w:rsidRPr="00BD4EC4" w:rsidRDefault="00C764DB" w:rsidP="00C764DB">
      <w:pPr>
        <w:ind w:firstLine="705"/>
        <w:jc w:val="both"/>
      </w:pPr>
      <w:r w:rsidRPr="00BD4EC4">
        <w:t xml:space="preserve">ФОТ младшего обслуживающего персонала формируется исходя из минимального </w:t>
      </w:r>
      <w:proofErr w:type="gramStart"/>
      <w:r w:rsidRPr="00BD4EC4">
        <w:t>размера оплаты труда</w:t>
      </w:r>
      <w:proofErr w:type="gramEnd"/>
      <w:r w:rsidRPr="00BD4EC4">
        <w:t xml:space="preserve"> на 2022 год на уровне 13617 рублей,</w:t>
      </w:r>
    </w:p>
    <w:p w:rsidR="00C764DB" w:rsidRPr="00BD4EC4" w:rsidRDefault="00C764DB" w:rsidP="00C764DB">
      <w:pPr>
        <w:ind w:firstLine="705"/>
        <w:jc w:val="both"/>
      </w:pPr>
      <w:r w:rsidRPr="00BD4EC4">
        <w:t xml:space="preserve">для вновь открывшихся учреждений, которые осуществляют </w:t>
      </w:r>
      <w:r w:rsidRPr="00BD4EC4">
        <w:rPr>
          <w:color w:val="000000"/>
          <w:shd w:val="clear" w:color="auto" w:fill="FFFFFF"/>
        </w:rPr>
        <w:t xml:space="preserve">приносящую доход </w:t>
      </w:r>
      <w:r w:rsidRPr="00BD4EC4">
        <w:t>деятельность, планируемый ФОТ за счет средств местного бюджета, снижается на 5%.</w:t>
      </w:r>
    </w:p>
    <w:p w:rsidR="00C764DB" w:rsidRPr="00BD4EC4" w:rsidRDefault="00C764DB" w:rsidP="00C764DB">
      <w:pPr>
        <w:pStyle w:val="af7"/>
        <w:numPr>
          <w:ilvl w:val="0"/>
          <w:numId w:val="26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ФОТ отдельных категорий работников,  средняя заработная плата которым доводится до средней заработной платы по Ивановской области, сформирован с учетом достижения целевого значения средней заработной платы (планируемый уровень 26 413 рублей), в том числе за счет планируемых к поступлению средств из областного бюджета с учетом следующих особенностей:</w:t>
      </w:r>
    </w:p>
    <w:p w:rsidR="00C764DB" w:rsidRPr="00BD4EC4" w:rsidRDefault="00C764DB" w:rsidP="00C764DB">
      <w:pPr>
        <w:pStyle w:val="af7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 xml:space="preserve">2.1. ФОТ педагогических работников дополнительного образования и работников (тренеров) </w:t>
      </w:r>
      <w:r w:rsidRPr="00BD4EC4">
        <w:rPr>
          <w:rFonts w:ascii="Times New Roman" w:eastAsiaTheme="minorHAnsi" w:hAnsi="Times New Roman"/>
          <w:sz w:val="28"/>
          <w:szCs w:val="28"/>
        </w:rPr>
        <w:t>учреждений спортивной подготовки</w:t>
      </w:r>
      <w:r w:rsidRPr="00BD4EC4">
        <w:rPr>
          <w:rFonts w:ascii="Times New Roman" w:hAnsi="Times New Roman"/>
          <w:sz w:val="28"/>
          <w:szCs w:val="28"/>
        </w:rPr>
        <w:t xml:space="preserve">: </w:t>
      </w:r>
    </w:p>
    <w:p w:rsidR="00C764DB" w:rsidRPr="00BD4EC4" w:rsidRDefault="00C764DB" w:rsidP="00C764DB">
      <w:pPr>
        <w:pStyle w:val="af7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 xml:space="preserve">для формирования ФОТ в сопоставимых условиях с педагогическими работниками общего образования планирование осуществляется с применением целевого значения средней заработной платы при коэффициенте нагрузки на 1 работника (основные, вакансии) в размере 1,6; </w:t>
      </w:r>
    </w:p>
    <w:p w:rsidR="00C764DB" w:rsidRPr="00BD4EC4" w:rsidRDefault="00C764DB" w:rsidP="00C764DB">
      <w:pPr>
        <w:pStyle w:val="af7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 xml:space="preserve">если  вышеуказанный коэффициент нагрузки составляет более 1,6 – ФОТ (основные ставки) рассчитывается исходя из среднесписочной численности, </w:t>
      </w:r>
    </w:p>
    <w:p w:rsidR="00C764DB" w:rsidRPr="00BD4EC4" w:rsidRDefault="00C764DB" w:rsidP="00C764DB">
      <w:pPr>
        <w:pStyle w:val="af7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по ставкам совместителей формирование ФОТ осуществляется на  уровне МРОТ;</w:t>
      </w:r>
    </w:p>
    <w:p w:rsidR="00C764DB" w:rsidRPr="00BD4EC4" w:rsidRDefault="00C764DB" w:rsidP="00C764DB">
      <w:pPr>
        <w:pStyle w:val="af7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2.2. ФОТ руководителей и специалистов учреждений культуры</w:t>
      </w:r>
      <w:r w:rsidRPr="00BD4E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4EC4">
        <w:rPr>
          <w:rFonts w:ascii="Times New Roman" w:hAnsi="Times New Roman"/>
          <w:sz w:val="28"/>
          <w:szCs w:val="28"/>
        </w:rPr>
        <w:t>исходя из среднесписочной численности и целевого значения средней заработной платы на 2022 год без учета должностей, содержание которых полностью осуществляется</w:t>
      </w:r>
      <w:proofErr w:type="gramEnd"/>
      <w:r w:rsidRPr="00BD4EC4">
        <w:rPr>
          <w:rFonts w:ascii="Times New Roman" w:hAnsi="Times New Roman"/>
          <w:sz w:val="28"/>
          <w:szCs w:val="28"/>
        </w:rPr>
        <w:t xml:space="preserve"> за счет доходов от приносящей доход деятельности. ФОТ младшего обслуживающего персонала рассчитывается  исходя из минимального </w:t>
      </w:r>
      <w:proofErr w:type="gramStart"/>
      <w:r w:rsidRPr="00BD4EC4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BD4EC4">
        <w:rPr>
          <w:rFonts w:ascii="Times New Roman" w:hAnsi="Times New Roman"/>
          <w:sz w:val="28"/>
          <w:szCs w:val="28"/>
        </w:rPr>
        <w:t xml:space="preserve"> на 2022 год на уровне 13617 рублей.</w:t>
      </w:r>
    </w:p>
    <w:p w:rsidR="00C764DB" w:rsidRPr="00BD4EC4" w:rsidRDefault="00C764DB" w:rsidP="00C764DB">
      <w:pPr>
        <w:ind w:firstLine="705"/>
        <w:jc w:val="both"/>
        <w:rPr>
          <w:rFonts w:eastAsiaTheme="minorHAnsi"/>
          <w:lang w:eastAsia="en-US"/>
        </w:rPr>
      </w:pPr>
      <w:r w:rsidRPr="00BD4EC4">
        <w:t xml:space="preserve">3. </w:t>
      </w:r>
      <w:proofErr w:type="gramStart"/>
      <w:r w:rsidRPr="00BD4EC4">
        <w:t>Формирование ФОТ административно-управленческого и вспомогательного персонала осуществл</w:t>
      </w:r>
      <w:r w:rsidR="00CB56B4">
        <w:t>ено</w:t>
      </w:r>
      <w:r w:rsidRPr="00BD4EC4">
        <w:t xml:space="preserve">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 плана мероприятий по росту доходов, оптимизации расходов и совершенствованию долговой политики городского округа Кинешма, утвержденного постановлением администрации городского округа Кинешма от 12.03.2019 № 340-п с  соблюдением доли </w:t>
      </w:r>
      <w:r w:rsidRPr="00BD4EC4">
        <w:rPr>
          <w:rFonts w:eastAsiaTheme="minorHAnsi"/>
          <w:lang w:eastAsia="en-US"/>
        </w:rPr>
        <w:t xml:space="preserve">расходов на оплату труда </w:t>
      </w:r>
      <w:r w:rsidRPr="00BD4EC4">
        <w:rPr>
          <w:rFonts w:eastAsiaTheme="minorHAnsi"/>
          <w:lang w:eastAsia="en-US"/>
        </w:rPr>
        <w:lastRenderedPageBreak/>
        <w:t>административно-управленческого и вспомогательного</w:t>
      </w:r>
      <w:proofErr w:type="gramEnd"/>
      <w:r w:rsidRPr="00BD4EC4">
        <w:rPr>
          <w:rFonts w:eastAsiaTheme="minorHAnsi"/>
          <w:lang w:eastAsia="en-US"/>
        </w:rPr>
        <w:t xml:space="preserve"> персонала в фонде оплаты труда в объеме не более 40 процентов.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Расчет ФОТ муниципальных служащих, лиц, замещающих выборные муниципальные должности городского округа Кинешма, осуществл</w:t>
      </w:r>
      <w:r w:rsidR="00CB56B4">
        <w:rPr>
          <w:rFonts w:ascii="Times New Roman" w:hAnsi="Times New Roman"/>
          <w:sz w:val="28"/>
          <w:szCs w:val="28"/>
        </w:rPr>
        <w:t>ено</w:t>
      </w:r>
      <w:r w:rsidRPr="00BD4EC4">
        <w:rPr>
          <w:rFonts w:ascii="Times New Roman" w:hAnsi="Times New Roman"/>
          <w:sz w:val="28"/>
          <w:szCs w:val="28"/>
        </w:rPr>
        <w:t xml:space="preserve"> в соответствии с действующими положениями. 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Формирование расходов на оплату  энергетических ресурсов и коммунальных услуг  осуществл</w:t>
      </w:r>
      <w:r w:rsidR="00CB56B4">
        <w:rPr>
          <w:rFonts w:ascii="Times New Roman" w:hAnsi="Times New Roman"/>
          <w:sz w:val="28"/>
          <w:szCs w:val="28"/>
        </w:rPr>
        <w:t>ено</w:t>
      </w:r>
      <w:r w:rsidRPr="00BD4EC4">
        <w:rPr>
          <w:rFonts w:ascii="Times New Roman" w:hAnsi="Times New Roman"/>
          <w:sz w:val="28"/>
          <w:szCs w:val="28"/>
        </w:rPr>
        <w:t xml:space="preserve"> с учетом требований статьи 24 Федерального закона от 23.11.2009 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Федерации». Расходы на отопление рассчитываются в соответствии с объемами по заключенным на 2021 год договорам. </w:t>
      </w:r>
      <w:r w:rsidRPr="00BD4EC4">
        <w:rPr>
          <w:rFonts w:ascii="Times New Roman" w:hAnsi="Times New Roman"/>
          <w:bCs/>
          <w:spacing w:val="-2"/>
          <w:sz w:val="28"/>
          <w:szCs w:val="28"/>
        </w:rPr>
        <w:t xml:space="preserve">Планирование расходов на отдельные потребляемые </w:t>
      </w:r>
      <w:r w:rsidRPr="00BD4EC4">
        <w:rPr>
          <w:rFonts w:ascii="Times New Roman" w:hAnsi="Times New Roman"/>
          <w:sz w:val="28"/>
          <w:szCs w:val="28"/>
        </w:rPr>
        <w:t>энергетические ресурсы и коммунальные услуги</w:t>
      </w:r>
      <w:r w:rsidRPr="00BD4EC4">
        <w:rPr>
          <w:rFonts w:ascii="Times New Roman" w:hAnsi="Times New Roman"/>
          <w:bCs/>
          <w:spacing w:val="-2"/>
          <w:sz w:val="28"/>
          <w:szCs w:val="28"/>
        </w:rPr>
        <w:t xml:space="preserve"> (за исключением теплоснабжения) на очередной финансовый год и плановый период осуществляется с ежегодным снижением суммарного объема потребления услуг в сопоставимых условиях на 3%.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Формирование прочих расходов осуществл</w:t>
      </w:r>
      <w:r w:rsidR="00CB56B4">
        <w:rPr>
          <w:rFonts w:ascii="Times New Roman" w:hAnsi="Times New Roman"/>
          <w:sz w:val="28"/>
          <w:szCs w:val="28"/>
        </w:rPr>
        <w:t>ено</w:t>
      </w:r>
      <w:r w:rsidRPr="00BD4EC4">
        <w:rPr>
          <w:rFonts w:ascii="Times New Roman" w:hAnsi="Times New Roman"/>
          <w:sz w:val="28"/>
          <w:szCs w:val="28"/>
        </w:rPr>
        <w:t xml:space="preserve"> по прогнозным расходам 2021 года за исключением расходов, носящих единовременных характер, а также с учетом ликвидации (реорганизации) отдельных муниципальных учреждений и в пересчете до полного финансового года вновь открытых учреждений. 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>Планируемый расчет по прочим расходам на обеспечение деятельности отраслевых (функциональных) органов администрации городского округа Кинешма осуществлен по утвержденным расходам 2021 года за исключением расходов, носящих единовременных характер с учетом необходимости оптимизации (сокращения) указанных расходов на 3%.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 xml:space="preserve">Планируемые объемы расходов за счет средств бюджета городского округа на 2022-2024 годы </w:t>
      </w:r>
      <w:r w:rsidR="00CB56B4">
        <w:rPr>
          <w:rFonts w:ascii="Times New Roman" w:hAnsi="Times New Roman"/>
          <w:sz w:val="28"/>
          <w:szCs w:val="28"/>
        </w:rPr>
        <w:t>скорректированы</w:t>
      </w:r>
      <w:r w:rsidRPr="00BD4EC4">
        <w:rPr>
          <w:rFonts w:ascii="Times New Roman" w:hAnsi="Times New Roman"/>
          <w:sz w:val="28"/>
          <w:szCs w:val="28"/>
        </w:rPr>
        <w:t xml:space="preserve"> на объемы расходов за счет средств, полученных от оказания услуг (выполнения работ) на платной основе и от иной приносящей доход деятельности. Объем расходов за счет средств, полученных от оказания услуг (выполнения работ) на платной основе и от иной приносящей доход деятельности по одноименным направлениям расходов </w:t>
      </w:r>
      <w:r w:rsidR="00CB56B4">
        <w:rPr>
          <w:rFonts w:ascii="Times New Roman" w:hAnsi="Times New Roman"/>
          <w:sz w:val="28"/>
          <w:szCs w:val="28"/>
        </w:rPr>
        <w:t>сформированы</w:t>
      </w:r>
      <w:r w:rsidRPr="00BD4EC4">
        <w:rPr>
          <w:rFonts w:ascii="Times New Roman" w:hAnsi="Times New Roman"/>
          <w:sz w:val="28"/>
          <w:szCs w:val="28"/>
        </w:rPr>
        <w:t xml:space="preserve"> не ниже уровня 2021 года.</w:t>
      </w:r>
    </w:p>
    <w:p w:rsidR="00C764DB" w:rsidRPr="00BD4EC4" w:rsidRDefault="00C764DB" w:rsidP="00C764DB">
      <w:pPr>
        <w:pStyle w:val="af7"/>
        <w:numPr>
          <w:ilvl w:val="0"/>
          <w:numId w:val="27"/>
        </w:numPr>
        <w:spacing w:before="240"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D4EC4">
        <w:rPr>
          <w:rFonts w:ascii="Times New Roman" w:hAnsi="Times New Roman"/>
          <w:sz w:val="28"/>
          <w:szCs w:val="28"/>
        </w:rPr>
        <w:t xml:space="preserve">Объемы целевых средств (субсидия на иные цели) </w:t>
      </w:r>
      <w:r w:rsidR="00CB56B4">
        <w:rPr>
          <w:rFonts w:ascii="Times New Roman" w:hAnsi="Times New Roman"/>
          <w:sz w:val="28"/>
          <w:szCs w:val="28"/>
        </w:rPr>
        <w:t>сформированы</w:t>
      </w:r>
      <w:r w:rsidRPr="00BD4EC4">
        <w:rPr>
          <w:rFonts w:ascii="Times New Roman" w:hAnsi="Times New Roman"/>
          <w:sz w:val="28"/>
          <w:szCs w:val="28"/>
        </w:rPr>
        <w:t xml:space="preserve"> по фактическим расходам 2021 года (по состоянию на 01.11.2021) в пересчете на полный финансовый год.</w:t>
      </w:r>
    </w:p>
    <w:p w:rsidR="00C764DB" w:rsidRDefault="00C764DB" w:rsidP="00C44013">
      <w:pPr>
        <w:tabs>
          <w:tab w:val="num" w:pos="709"/>
        </w:tabs>
        <w:jc w:val="both"/>
      </w:pPr>
    </w:p>
    <w:p w:rsidR="00B15F05" w:rsidRDefault="00B15F05" w:rsidP="00157846">
      <w:pPr>
        <w:jc w:val="right"/>
        <w:rPr>
          <w:sz w:val="24"/>
          <w:szCs w:val="24"/>
        </w:rPr>
      </w:pPr>
    </w:p>
    <w:p w:rsidR="009620AC" w:rsidRDefault="009620AC" w:rsidP="00157846">
      <w:pPr>
        <w:jc w:val="right"/>
        <w:rPr>
          <w:sz w:val="24"/>
          <w:szCs w:val="24"/>
        </w:rPr>
      </w:pPr>
    </w:p>
    <w:p w:rsidR="00B15F05" w:rsidRDefault="00B15F05" w:rsidP="00B15F05">
      <w:pPr>
        <w:ind w:right="-5"/>
        <w:rPr>
          <w:b/>
        </w:rPr>
      </w:pPr>
      <w:r>
        <w:rPr>
          <w:b/>
        </w:rPr>
        <w:t>Глава</w:t>
      </w:r>
      <w:r w:rsidRPr="0026681B">
        <w:rPr>
          <w:b/>
        </w:rPr>
        <w:t xml:space="preserve"> городского округа Кинешма</w:t>
      </w:r>
      <w:r>
        <w:rPr>
          <w:b/>
        </w:rPr>
        <w:t xml:space="preserve">                                           </w:t>
      </w:r>
      <w:r w:rsidR="00C44013">
        <w:rPr>
          <w:b/>
        </w:rPr>
        <w:t xml:space="preserve">       </w:t>
      </w:r>
      <w:r>
        <w:rPr>
          <w:b/>
        </w:rPr>
        <w:t xml:space="preserve"> В.Г. Ступин</w:t>
      </w:r>
    </w:p>
    <w:p w:rsidR="00B15F05" w:rsidRDefault="00B15F05" w:rsidP="00B15F05">
      <w:pPr>
        <w:ind w:right="-5"/>
        <w:rPr>
          <w:b/>
        </w:rPr>
      </w:pPr>
    </w:p>
    <w:p w:rsidR="00B15F05" w:rsidRDefault="00B15F05" w:rsidP="00B15F05">
      <w:pPr>
        <w:ind w:right="-5"/>
        <w:rPr>
          <w:b/>
        </w:rPr>
      </w:pPr>
    </w:p>
    <w:p w:rsidR="00B15F05" w:rsidRPr="00E003CD" w:rsidRDefault="00B15F05" w:rsidP="00B15F05">
      <w:pPr>
        <w:ind w:right="-5"/>
        <w:rPr>
          <w:sz w:val="24"/>
          <w:szCs w:val="24"/>
        </w:rPr>
      </w:pPr>
      <w:r w:rsidRPr="00E003CD">
        <w:rPr>
          <w:sz w:val="24"/>
          <w:szCs w:val="24"/>
        </w:rPr>
        <w:t>Исполнитель: начальник финансового управления</w:t>
      </w:r>
    </w:p>
    <w:p w:rsidR="00B15F05" w:rsidRPr="00E003CD" w:rsidRDefault="00B15F05" w:rsidP="00B15F05">
      <w:pPr>
        <w:ind w:right="-5"/>
        <w:rPr>
          <w:sz w:val="24"/>
          <w:szCs w:val="24"/>
        </w:rPr>
      </w:pPr>
      <w:r w:rsidRPr="00E003CD">
        <w:rPr>
          <w:sz w:val="24"/>
          <w:szCs w:val="24"/>
        </w:rPr>
        <w:t xml:space="preserve">администрации городского округа </w:t>
      </w:r>
      <w:r>
        <w:rPr>
          <w:sz w:val="24"/>
          <w:szCs w:val="24"/>
        </w:rPr>
        <w:t xml:space="preserve"> </w:t>
      </w:r>
      <w:r w:rsidRPr="00E003CD">
        <w:rPr>
          <w:sz w:val="24"/>
          <w:szCs w:val="24"/>
        </w:rPr>
        <w:t>Кинешма С.С. Комарова</w:t>
      </w:r>
    </w:p>
    <w:p w:rsidR="00B15F05" w:rsidRDefault="00B15F05" w:rsidP="00B15F05">
      <w:pPr>
        <w:ind w:right="-5"/>
        <w:rPr>
          <w:sz w:val="24"/>
          <w:szCs w:val="24"/>
        </w:rPr>
      </w:pPr>
      <w:r w:rsidRPr="00E003CD">
        <w:rPr>
          <w:sz w:val="24"/>
          <w:szCs w:val="24"/>
        </w:rPr>
        <w:t>т.5-54-65</w:t>
      </w:r>
    </w:p>
    <w:p w:rsidR="00CB56B4" w:rsidRDefault="00CB56B4" w:rsidP="00B15F05">
      <w:pPr>
        <w:ind w:right="-5"/>
        <w:rPr>
          <w:sz w:val="24"/>
          <w:szCs w:val="24"/>
        </w:rPr>
      </w:pPr>
    </w:p>
    <w:p w:rsidR="00CB56B4" w:rsidRPr="00E003CD" w:rsidRDefault="00CB56B4" w:rsidP="00B15F05">
      <w:pPr>
        <w:ind w:right="-5"/>
        <w:rPr>
          <w:sz w:val="24"/>
          <w:szCs w:val="24"/>
        </w:rPr>
      </w:pPr>
    </w:p>
    <w:p w:rsidR="00157846" w:rsidRPr="001D6C08" w:rsidRDefault="00C764DB" w:rsidP="0015784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57846" w:rsidRPr="001D6C08">
        <w:rPr>
          <w:sz w:val="24"/>
          <w:szCs w:val="24"/>
        </w:rPr>
        <w:t>риложение к пояснительной записке</w:t>
      </w:r>
    </w:p>
    <w:p w:rsidR="00157846" w:rsidRPr="001D6C08" w:rsidRDefault="00157846" w:rsidP="00157846">
      <w:pPr>
        <w:jc w:val="right"/>
        <w:rPr>
          <w:b/>
          <w:color w:val="FF0000"/>
          <w:sz w:val="24"/>
          <w:szCs w:val="24"/>
        </w:rPr>
      </w:pPr>
    </w:p>
    <w:p w:rsidR="00157846" w:rsidRPr="001D6C08" w:rsidRDefault="00157846" w:rsidP="00157846">
      <w:pPr>
        <w:jc w:val="center"/>
        <w:rPr>
          <w:b/>
          <w:sz w:val="24"/>
          <w:szCs w:val="24"/>
        </w:rPr>
      </w:pPr>
      <w:r w:rsidRPr="001D6C08">
        <w:rPr>
          <w:b/>
          <w:sz w:val="24"/>
          <w:szCs w:val="24"/>
        </w:rPr>
        <w:t xml:space="preserve">Распределение бюджетных ассигнований по разделам и подразделам </w:t>
      </w:r>
      <w:proofErr w:type="gramStart"/>
      <w:r w:rsidRPr="001D6C08">
        <w:rPr>
          <w:b/>
          <w:sz w:val="24"/>
          <w:szCs w:val="24"/>
        </w:rPr>
        <w:t>классификации расходов проекта бюджета городского округа</w:t>
      </w:r>
      <w:proofErr w:type="gramEnd"/>
      <w:r w:rsidRPr="001D6C08">
        <w:rPr>
          <w:b/>
          <w:sz w:val="24"/>
          <w:szCs w:val="24"/>
        </w:rPr>
        <w:t xml:space="preserve"> Кинешма </w:t>
      </w:r>
    </w:p>
    <w:p w:rsidR="00157846" w:rsidRPr="001D6C08" w:rsidRDefault="00157846" w:rsidP="00157846">
      <w:pPr>
        <w:jc w:val="center"/>
        <w:rPr>
          <w:b/>
          <w:sz w:val="24"/>
          <w:szCs w:val="24"/>
        </w:rPr>
      </w:pPr>
      <w:r w:rsidRPr="001D6C08">
        <w:rPr>
          <w:b/>
          <w:sz w:val="24"/>
          <w:szCs w:val="24"/>
        </w:rPr>
        <w:t>на 20</w:t>
      </w:r>
      <w:r w:rsidR="004A5163" w:rsidRPr="001D6C08">
        <w:rPr>
          <w:b/>
          <w:sz w:val="24"/>
          <w:szCs w:val="24"/>
        </w:rPr>
        <w:t>2</w:t>
      </w:r>
      <w:r w:rsidR="00785061">
        <w:rPr>
          <w:b/>
          <w:sz w:val="24"/>
          <w:szCs w:val="24"/>
        </w:rPr>
        <w:t>2</w:t>
      </w:r>
      <w:r w:rsidRPr="001D6C08">
        <w:rPr>
          <w:b/>
          <w:sz w:val="24"/>
          <w:szCs w:val="24"/>
        </w:rPr>
        <w:t xml:space="preserve"> год и плановый период 202</w:t>
      </w:r>
      <w:r w:rsidR="00785061">
        <w:rPr>
          <w:b/>
          <w:sz w:val="24"/>
          <w:szCs w:val="24"/>
        </w:rPr>
        <w:t>3</w:t>
      </w:r>
      <w:r w:rsidRPr="001D6C08">
        <w:rPr>
          <w:b/>
          <w:sz w:val="24"/>
          <w:szCs w:val="24"/>
        </w:rPr>
        <w:t xml:space="preserve"> и 202</w:t>
      </w:r>
      <w:r w:rsidR="002378BF">
        <w:rPr>
          <w:b/>
          <w:sz w:val="24"/>
          <w:szCs w:val="24"/>
        </w:rPr>
        <w:t>3</w:t>
      </w:r>
      <w:r w:rsidRPr="001D6C08">
        <w:rPr>
          <w:b/>
          <w:sz w:val="24"/>
          <w:szCs w:val="24"/>
        </w:rPr>
        <w:t xml:space="preserve"> годов</w:t>
      </w:r>
    </w:p>
    <w:p w:rsidR="00157846" w:rsidRPr="001D6C08" w:rsidRDefault="00C62461" w:rsidP="00C62461">
      <w:pPr>
        <w:jc w:val="right"/>
        <w:rPr>
          <w:sz w:val="24"/>
          <w:szCs w:val="24"/>
        </w:rPr>
      </w:pPr>
      <w:r w:rsidRPr="001D6C08">
        <w:rPr>
          <w:sz w:val="24"/>
          <w:szCs w:val="24"/>
        </w:rPr>
        <w:t>(тыс. руб.)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516"/>
        <w:gridCol w:w="1559"/>
        <w:gridCol w:w="1559"/>
      </w:tblGrid>
      <w:tr w:rsidR="00603CC8" w:rsidRPr="00603CC8" w:rsidTr="00603CC8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127 206,84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107 838,09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107 874,48</w:t>
            </w:r>
          </w:p>
        </w:tc>
      </w:tr>
      <w:tr w:rsidR="00603CC8" w:rsidRPr="00603CC8" w:rsidTr="00603CC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1 829,31</w:t>
            </w:r>
          </w:p>
        </w:tc>
      </w:tr>
      <w:tr w:rsidR="00603CC8" w:rsidRPr="00603CC8" w:rsidTr="00603CC8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6 597,52</w:t>
            </w:r>
          </w:p>
        </w:tc>
      </w:tr>
      <w:tr w:rsidR="00603CC8" w:rsidRPr="00603CC8" w:rsidTr="00603CC8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40 648,10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40 444,34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40 444,34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603CC8" w:rsidRPr="00603CC8" w:rsidTr="00603CC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11 142,36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11 142,36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11 142,36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3 000,00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63 921,83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44 819,30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44 860,95</w:t>
            </w:r>
          </w:p>
        </w:tc>
      </w:tr>
      <w:tr w:rsidR="00603CC8" w:rsidRPr="00603CC8" w:rsidTr="00603CC8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</w:tr>
      <w:tr w:rsidR="00603CC8" w:rsidRPr="00603CC8" w:rsidTr="00603CC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18 643,10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117 771,56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95 134,39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74 895,09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234,59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85,67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8 233,67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8 509,54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8 195,66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109 053,30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86 539,19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66 613,77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198 744,73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122 172,49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32 596,58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70 511,36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92 063,71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1 212,55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lastRenderedPageBreak/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128 187,49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30 108,78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31 384,02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1 041 782,75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1 036 519,59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208 080,92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2 080,81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5 263,16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970 450,59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761 824,53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708 878,41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407 976,14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339 263,75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343 469,75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387 502,03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301 214,25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243 012,42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119 452,28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84 714,65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85 740,32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11 201,90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8 342,18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8 366,21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44 318,24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28 289,71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28 289,71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66 705,60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39 817,44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40 010,48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62 715,81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35 889,52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36 082,56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3 989,79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3 927,91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23 316,03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12 486,28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9 299,53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2 400,00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1 205,00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18 559,03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8 881,28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5 694,53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0,00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34 247,19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23 851,16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23 853,78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31 344,02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20 961,77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20 964,40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2 903,17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2 889,39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2 111,00</w:t>
            </w:r>
          </w:p>
        </w:tc>
      </w:tr>
      <w:tr w:rsidR="00603CC8" w:rsidRPr="00603CC8" w:rsidTr="00603CC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2 169,40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2 111,00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603CC8" w:rsidRPr="00603CC8" w:rsidTr="00603CC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CC8" w:rsidRPr="00603CC8" w:rsidRDefault="00603CC8" w:rsidP="00603CC8">
            <w:pPr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center"/>
              <w:outlineLvl w:val="0"/>
              <w:rPr>
                <w:snapToGrid/>
                <w:color w:val="000000"/>
                <w:sz w:val="24"/>
                <w:szCs w:val="24"/>
              </w:rPr>
            </w:pPr>
            <w:r w:rsidRPr="00603CC8">
              <w:rPr>
                <w:snapToGrid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15 153,30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outlineLvl w:val="0"/>
              <w:rPr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Cs/>
                <w:snapToGrid/>
                <w:color w:val="000000"/>
                <w:sz w:val="24"/>
                <w:szCs w:val="24"/>
              </w:rPr>
              <w:t>12 153,30</w:t>
            </w:r>
          </w:p>
        </w:tc>
      </w:tr>
      <w:tr w:rsidR="00603CC8" w:rsidRPr="00603CC8" w:rsidTr="00603CC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C8" w:rsidRPr="00603CC8" w:rsidRDefault="00603CC8" w:rsidP="00603CC8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/>
                <w:bCs/>
                <w:snapToGrid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/>
                <w:bCs/>
                <w:snapToGrid/>
                <w:color w:val="000000"/>
                <w:sz w:val="24"/>
                <w:szCs w:val="24"/>
              </w:rPr>
              <w:t>2 616 191,10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/>
                <w:bCs/>
                <w:snapToGrid/>
                <w:color w:val="000000"/>
                <w:sz w:val="24"/>
                <w:szCs w:val="24"/>
              </w:rPr>
              <w:t>1 404 109,00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3CC8" w:rsidRPr="00603CC8" w:rsidRDefault="00603CC8" w:rsidP="00603CC8">
            <w:pPr>
              <w:jc w:val="right"/>
              <w:rPr>
                <w:b/>
                <w:bCs/>
                <w:snapToGrid/>
                <w:color w:val="000000"/>
                <w:sz w:val="24"/>
                <w:szCs w:val="24"/>
              </w:rPr>
            </w:pPr>
            <w:r w:rsidRPr="00603CC8">
              <w:rPr>
                <w:b/>
                <w:bCs/>
                <w:snapToGrid/>
                <w:color w:val="000000"/>
                <w:sz w:val="24"/>
                <w:szCs w:val="24"/>
              </w:rPr>
              <w:t>1 032 396,54</w:t>
            </w:r>
          </w:p>
        </w:tc>
      </w:tr>
    </w:tbl>
    <w:p w:rsidR="002378BF" w:rsidRPr="00FC19FE" w:rsidRDefault="002378BF" w:rsidP="004E29BC">
      <w:pPr>
        <w:jc w:val="both"/>
        <w:rPr>
          <w:b/>
        </w:rPr>
      </w:pPr>
    </w:p>
    <w:p w:rsidR="001209B8" w:rsidRDefault="001209B8" w:rsidP="004E29BC">
      <w:pPr>
        <w:jc w:val="both"/>
        <w:rPr>
          <w:b/>
        </w:rPr>
      </w:pPr>
    </w:p>
    <w:p w:rsidR="001209B8" w:rsidRDefault="001209B8" w:rsidP="004E29BC">
      <w:pPr>
        <w:jc w:val="both"/>
        <w:rPr>
          <w:b/>
        </w:rPr>
      </w:pPr>
    </w:p>
    <w:p w:rsidR="00B15F05" w:rsidRDefault="00B15F05">
      <w:pPr>
        <w:pStyle w:val="a4"/>
        <w:jc w:val="left"/>
        <w:rPr>
          <w:b/>
        </w:rPr>
      </w:pPr>
    </w:p>
    <w:sectPr w:rsidR="00B15F05" w:rsidSect="002911F8">
      <w:headerReference w:type="default" r:id="rId10"/>
      <w:footerReference w:type="even" r:id="rId11"/>
      <w:footerReference w:type="default" r:id="rId12"/>
      <w:pgSz w:w="11906" w:h="16838"/>
      <w:pgMar w:top="709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C8" w:rsidRDefault="00603CC8">
      <w:r>
        <w:separator/>
      </w:r>
    </w:p>
  </w:endnote>
  <w:endnote w:type="continuationSeparator" w:id="0">
    <w:p w:rsidR="00603CC8" w:rsidRDefault="0060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C8" w:rsidRPr="00AE7BC0" w:rsidRDefault="00603CC8" w:rsidP="00057234">
    <w:pPr>
      <w:pStyle w:val="a9"/>
      <w:framePr w:wrap="around" w:vAnchor="text" w:hAnchor="margin" w:xAlign="right" w:y="1"/>
      <w:rPr>
        <w:rStyle w:val="af2"/>
        <w:sz w:val="17"/>
        <w:szCs w:val="17"/>
      </w:rPr>
    </w:pPr>
    <w:r w:rsidRPr="00AE7BC0">
      <w:rPr>
        <w:rStyle w:val="af2"/>
        <w:sz w:val="17"/>
        <w:szCs w:val="17"/>
      </w:rPr>
      <w:fldChar w:fldCharType="begin"/>
    </w:r>
    <w:r w:rsidRPr="00AE7BC0">
      <w:rPr>
        <w:rStyle w:val="af2"/>
        <w:sz w:val="17"/>
        <w:szCs w:val="17"/>
      </w:rPr>
      <w:instrText xml:space="preserve">PAGE  </w:instrText>
    </w:r>
    <w:r w:rsidRPr="00AE7BC0">
      <w:rPr>
        <w:rStyle w:val="af2"/>
        <w:sz w:val="17"/>
        <w:szCs w:val="17"/>
      </w:rPr>
      <w:fldChar w:fldCharType="end"/>
    </w:r>
  </w:p>
  <w:p w:rsidR="00603CC8" w:rsidRPr="00AE7BC0" w:rsidRDefault="00603CC8" w:rsidP="00057234">
    <w:pPr>
      <w:pStyle w:val="a9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C8" w:rsidRPr="00AE7BC0" w:rsidRDefault="00603CC8" w:rsidP="00057234">
    <w:pPr>
      <w:pStyle w:val="a9"/>
      <w:ind w:right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C8" w:rsidRDefault="00603CC8">
      <w:r>
        <w:separator/>
      </w:r>
    </w:p>
  </w:footnote>
  <w:footnote w:type="continuationSeparator" w:id="0">
    <w:p w:rsidR="00603CC8" w:rsidRDefault="0060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C8" w:rsidRDefault="00603C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F2D5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02FA1"/>
    <w:multiLevelType w:val="hybridMultilevel"/>
    <w:tmpl w:val="4E64D206"/>
    <w:lvl w:ilvl="0" w:tplc="AB963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651ECD"/>
    <w:multiLevelType w:val="hybridMultilevel"/>
    <w:tmpl w:val="84FE6D00"/>
    <w:lvl w:ilvl="0" w:tplc="71B477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9D2E21"/>
    <w:multiLevelType w:val="hybridMultilevel"/>
    <w:tmpl w:val="2C88E6B0"/>
    <w:lvl w:ilvl="0" w:tplc="2074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F5E21"/>
    <w:multiLevelType w:val="hybridMultilevel"/>
    <w:tmpl w:val="80DE2F42"/>
    <w:lvl w:ilvl="0" w:tplc="99D628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E3F376B"/>
    <w:multiLevelType w:val="hybridMultilevel"/>
    <w:tmpl w:val="D064086E"/>
    <w:lvl w:ilvl="0" w:tplc="E5CC54D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FD22359"/>
    <w:multiLevelType w:val="hybridMultilevel"/>
    <w:tmpl w:val="A13AC3E2"/>
    <w:lvl w:ilvl="0" w:tplc="909C5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033DC"/>
    <w:multiLevelType w:val="hybridMultilevel"/>
    <w:tmpl w:val="551EC7B4"/>
    <w:lvl w:ilvl="0" w:tplc="77E4F40C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>
    <w:nsid w:val="139864D0"/>
    <w:multiLevelType w:val="hybridMultilevel"/>
    <w:tmpl w:val="0156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B50FA"/>
    <w:multiLevelType w:val="hybridMultilevel"/>
    <w:tmpl w:val="4244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F638F"/>
    <w:multiLevelType w:val="hybridMultilevel"/>
    <w:tmpl w:val="80E8A6EE"/>
    <w:lvl w:ilvl="0" w:tplc="5E44C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6A13"/>
    <w:multiLevelType w:val="hybridMultilevel"/>
    <w:tmpl w:val="0C2C63E4"/>
    <w:lvl w:ilvl="0" w:tplc="7F4E534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1A6AE6"/>
    <w:multiLevelType w:val="hybridMultilevel"/>
    <w:tmpl w:val="84FE6D00"/>
    <w:lvl w:ilvl="0" w:tplc="71B477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C63B76"/>
    <w:multiLevelType w:val="hybridMultilevel"/>
    <w:tmpl w:val="2A8217C2"/>
    <w:lvl w:ilvl="0" w:tplc="04190011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E1E03"/>
    <w:multiLevelType w:val="hybridMultilevel"/>
    <w:tmpl w:val="939E7DDE"/>
    <w:lvl w:ilvl="0" w:tplc="75B079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D6629C5"/>
    <w:multiLevelType w:val="hybridMultilevel"/>
    <w:tmpl w:val="4CDE3EC0"/>
    <w:lvl w:ilvl="0" w:tplc="97948E4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50723"/>
    <w:multiLevelType w:val="hybridMultilevel"/>
    <w:tmpl w:val="290AADEE"/>
    <w:lvl w:ilvl="0" w:tplc="6A6AEFE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BB53399"/>
    <w:multiLevelType w:val="hybridMultilevel"/>
    <w:tmpl w:val="C2FE378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4C395F85"/>
    <w:multiLevelType w:val="hybridMultilevel"/>
    <w:tmpl w:val="FF1808E6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01BC8"/>
    <w:multiLevelType w:val="hybridMultilevel"/>
    <w:tmpl w:val="8460B87E"/>
    <w:lvl w:ilvl="0" w:tplc="E904D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221A4"/>
    <w:multiLevelType w:val="hybridMultilevel"/>
    <w:tmpl w:val="DE4EDACE"/>
    <w:lvl w:ilvl="0" w:tplc="B660FBC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130FEE"/>
    <w:multiLevelType w:val="hybridMultilevel"/>
    <w:tmpl w:val="7D000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4E2949"/>
    <w:multiLevelType w:val="hybridMultilevel"/>
    <w:tmpl w:val="8F1229E8"/>
    <w:lvl w:ilvl="0" w:tplc="0ADA9CB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6A3B1AC1"/>
    <w:multiLevelType w:val="hybridMultilevel"/>
    <w:tmpl w:val="0DC834DA"/>
    <w:lvl w:ilvl="0" w:tplc="DBDE5EC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FF0000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CFB158C"/>
    <w:multiLevelType w:val="hybridMultilevel"/>
    <w:tmpl w:val="55981198"/>
    <w:lvl w:ilvl="0" w:tplc="566E53BE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E38334E"/>
    <w:multiLevelType w:val="hybridMultilevel"/>
    <w:tmpl w:val="B754995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4936C60"/>
    <w:multiLevelType w:val="hybridMultilevel"/>
    <w:tmpl w:val="F0F6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25"/>
  </w:num>
  <w:num w:numId="5">
    <w:abstractNumId w:val="9"/>
  </w:num>
  <w:num w:numId="6">
    <w:abstractNumId w:val="21"/>
  </w:num>
  <w:num w:numId="7">
    <w:abstractNumId w:val="17"/>
  </w:num>
  <w:num w:numId="8">
    <w:abstractNumId w:val="5"/>
  </w:num>
  <w:num w:numId="9">
    <w:abstractNumId w:val="22"/>
  </w:num>
  <w:num w:numId="10">
    <w:abstractNumId w:val="4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  <w:num w:numId="16">
    <w:abstractNumId w:val="2"/>
  </w:num>
  <w:num w:numId="17">
    <w:abstractNumId w:val="20"/>
  </w:num>
  <w:num w:numId="18">
    <w:abstractNumId w:val="6"/>
  </w:num>
  <w:num w:numId="19">
    <w:abstractNumId w:val="18"/>
  </w:num>
  <w:num w:numId="20">
    <w:abstractNumId w:val="7"/>
  </w:num>
  <w:num w:numId="21">
    <w:abstractNumId w:val="16"/>
  </w:num>
  <w:num w:numId="22">
    <w:abstractNumId w:val="1"/>
  </w:num>
  <w:num w:numId="23">
    <w:abstractNumId w:val="19"/>
  </w:num>
  <w:num w:numId="24">
    <w:abstractNumId w:val="11"/>
  </w:num>
  <w:num w:numId="25">
    <w:abstractNumId w:val="8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9BC"/>
    <w:rsid w:val="00000AB0"/>
    <w:rsid w:val="00015854"/>
    <w:rsid w:val="00017A89"/>
    <w:rsid w:val="00023F53"/>
    <w:rsid w:val="00024854"/>
    <w:rsid w:val="00025863"/>
    <w:rsid w:val="000262E4"/>
    <w:rsid w:val="00033DDB"/>
    <w:rsid w:val="0004433B"/>
    <w:rsid w:val="00053287"/>
    <w:rsid w:val="00053F1C"/>
    <w:rsid w:val="00054E66"/>
    <w:rsid w:val="00055EC3"/>
    <w:rsid w:val="00057234"/>
    <w:rsid w:val="000602CF"/>
    <w:rsid w:val="00061448"/>
    <w:rsid w:val="0006168C"/>
    <w:rsid w:val="000650E5"/>
    <w:rsid w:val="000658C8"/>
    <w:rsid w:val="000752A0"/>
    <w:rsid w:val="00081968"/>
    <w:rsid w:val="00082B38"/>
    <w:rsid w:val="00087AC9"/>
    <w:rsid w:val="00093C3F"/>
    <w:rsid w:val="00096123"/>
    <w:rsid w:val="0009796F"/>
    <w:rsid w:val="000A7A66"/>
    <w:rsid w:val="000B5927"/>
    <w:rsid w:val="000B5F41"/>
    <w:rsid w:val="000C2A2C"/>
    <w:rsid w:val="000C5FE8"/>
    <w:rsid w:val="000D4D7A"/>
    <w:rsid w:val="000E2124"/>
    <w:rsid w:val="000E31E9"/>
    <w:rsid w:val="000E4FE1"/>
    <w:rsid w:val="000E540C"/>
    <w:rsid w:val="000F0DF3"/>
    <w:rsid w:val="000F72D1"/>
    <w:rsid w:val="000F7354"/>
    <w:rsid w:val="001033A5"/>
    <w:rsid w:val="00103F90"/>
    <w:rsid w:val="00111C99"/>
    <w:rsid w:val="001125A6"/>
    <w:rsid w:val="001209B8"/>
    <w:rsid w:val="00124322"/>
    <w:rsid w:val="0013203B"/>
    <w:rsid w:val="0014010A"/>
    <w:rsid w:val="0014020B"/>
    <w:rsid w:val="0014164D"/>
    <w:rsid w:val="00142402"/>
    <w:rsid w:val="001425D5"/>
    <w:rsid w:val="00146908"/>
    <w:rsid w:val="001502BE"/>
    <w:rsid w:val="0015733A"/>
    <w:rsid w:val="00157846"/>
    <w:rsid w:val="0016018E"/>
    <w:rsid w:val="00163A77"/>
    <w:rsid w:val="00181390"/>
    <w:rsid w:val="00190931"/>
    <w:rsid w:val="00193188"/>
    <w:rsid w:val="001937A5"/>
    <w:rsid w:val="001A06BF"/>
    <w:rsid w:val="001A458B"/>
    <w:rsid w:val="001C0D16"/>
    <w:rsid w:val="001C7273"/>
    <w:rsid w:val="001D49DA"/>
    <w:rsid w:val="001D6C08"/>
    <w:rsid w:val="001E4918"/>
    <w:rsid w:val="001F20B2"/>
    <w:rsid w:val="00204293"/>
    <w:rsid w:val="002046FA"/>
    <w:rsid w:val="00233C07"/>
    <w:rsid w:val="002340CE"/>
    <w:rsid w:val="002378BF"/>
    <w:rsid w:val="00237F89"/>
    <w:rsid w:val="002503FC"/>
    <w:rsid w:val="00250F60"/>
    <w:rsid w:val="00251405"/>
    <w:rsid w:val="00251A7E"/>
    <w:rsid w:val="002602BA"/>
    <w:rsid w:val="002652CB"/>
    <w:rsid w:val="0026728A"/>
    <w:rsid w:val="00274BE7"/>
    <w:rsid w:val="002823C1"/>
    <w:rsid w:val="00290420"/>
    <w:rsid w:val="002911F8"/>
    <w:rsid w:val="002A3C8A"/>
    <w:rsid w:val="002A62FD"/>
    <w:rsid w:val="002A642E"/>
    <w:rsid w:val="002A660D"/>
    <w:rsid w:val="002B2079"/>
    <w:rsid w:val="002C1DE0"/>
    <w:rsid w:val="002C2E37"/>
    <w:rsid w:val="002C408C"/>
    <w:rsid w:val="002D09C9"/>
    <w:rsid w:val="002D47DF"/>
    <w:rsid w:val="002E644E"/>
    <w:rsid w:val="002F605F"/>
    <w:rsid w:val="00316CB0"/>
    <w:rsid w:val="00320A8C"/>
    <w:rsid w:val="003228F0"/>
    <w:rsid w:val="003275D6"/>
    <w:rsid w:val="0033177C"/>
    <w:rsid w:val="003332D1"/>
    <w:rsid w:val="00335C7A"/>
    <w:rsid w:val="003434D7"/>
    <w:rsid w:val="00346451"/>
    <w:rsid w:val="00357766"/>
    <w:rsid w:val="00361066"/>
    <w:rsid w:val="003627C7"/>
    <w:rsid w:val="003655DF"/>
    <w:rsid w:val="00366AAD"/>
    <w:rsid w:val="00377EBC"/>
    <w:rsid w:val="00381458"/>
    <w:rsid w:val="003851EF"/>
    <w:rsid w:val="00391F4A"/>
    <w:rsid w:val="0039378D"/>
    <w:rsid w:val="00397351"/>
    <w:rsid w:val="003A3099"/>
    <w:rsid w:val="003B3F17"/>
    <w:rsid w:val="003B625E"/>
    <w:rsid w:val="003C2598"/>
    <w:rsid w:val="003C2BF1"/>
    <w:rsid w:val="003C2F91"/>
    <w:rsid w:val="003C4463"/>
    <w:rsid w:val="003D4A3C"/>
    <w:rsid w:val="003D5538"/>
    <w:rsid w:val="003D7C7C"/>
    <w:rsid w:val="003E5E44"/>
    <w:rsid w:val="003F132E"/>
    <w:rsid w:val="003F5DA0"/>
    <w:rsid w:val="00405D42"/>
    <w:rsid w:val="0040686C"/>
    <w:rsid w:val="0041172E"/>
    <w:rsid w:val="00415A21"/>
    <w:rsid w:val="00420152"/>
    <w:rsid w:val="00420298"/>
    <w:rsid w:val="004222EE"/>
    <w:rsid w:val="00424D28"/>
    <w:rsid w:val="00427077"/>
    <w:rsid w:val="00427420"/>
    <w:rsid w:val="004300D0"/>
    <w:rsid w:val="00432A94"/>
    <w:rsid w:val="00434625"/>
    <w:rsid w:val="00437714"/>
    <w:rsid w:val="00456467"/>
    <w:rsid w:val="00475063"/>
    <w:rsid w:val="004768A0"/>
    <w:rsid w:val="00480667"/>
    <w:rsid w:val="00485DA2"/>
    <w:rsid w:val="004A342A"/>
    <w:rsid w:val="004A3EF9"/>
    <w:rsid w:val="004A5163"/>
    <w:rsid w:val="004A6345"/>
    <w:rsid w:val="004B16E1"/>
    <w:rsid w:val="004D4760"/>
    <w:rsid w:val="004D631A"/>
    <w:rsid w:val="004E0027"/>
    <w:rsid w:val="004E1659"/>
    <w:rsid w:val="004E29BC"/>
    <w:rsid w:val="004F33F4"/>
    <w:rsid w:val="00504373"/>
    <w:rsid w:val="00511285"/>
    <w:rsid w:val="005117A9"/>
    <w:rsid w:val="00515428"/>
    <w:rsid w:val="00520DC0"/>
    <w:rsid w:val="00521487"/>
    <w:rsid w:val="00521754"/>
    <w:rsid w:val="005508AB"/>
    <w:rsid w:val="00551C25"/>
    <w:rsid w:val="0055601A"/>
    <w:rsid w:val="00560AB5"/>
    <w:rsid w:val="00561AE2"/>
    <w:rsid w:val="0057213B"/>
    <w:rsid w:val="005776EA"/>
    <w:rsid w:val="005813E5"/>
    <w:rsid w:val="00581E5B"/>
    <w:rsid w:val="00582B22"/>
    <w:rsid w:val="005831A9"/>
    <w:rsid w:val="00591A2D"/>
    <w:rsid w:val="00595C47"/>
    <w:rsid w:val="005A1459"/>
    <w:rsid w:val="005A1E0A"/>
    <w:rsid w:val="005A34F5"/>
    <w:rsid w:val="005A67C6"/>
    <w:rsid w:val="005B07A6"/>
    <w:rsid w:val="005B1CDE"/>
    <w:rsid w:val="005B5A09"/>
    <w:rsid w:val="005C2ACC"/>
    <w:rsid w:val="005C4FEB"/>
    <w:rsid w:val="005D367A"/>
    <w:rsid w:val="005D3866"/>
    <w:rsid w:val="005D46B1"/>
    <w:rsid w:val="005D5A3C"/>
    <w:rsid w:val="005D5A5C"/>
    <w:rsid w:val="005D7445"/>
    <w:rsid w:val="005E6DF0"/>
    <w:rsid w:val="005F0DD0"/>
    <w:rsid w:val="005F3CF3"/>
    <w:rsid w:val="00600CC5"/>
    <w:rsid w:val="00603CC8"/>
    <w:rsid w:val="006072C1"/>
    <w:rsid w:val="00611857"/>
    <w:rsid w:val="006261DE"/>
    <w:rsid w:val="006276B3"/>
    <w:rsid w:val="0063228A"/>
    <w:rsid w:val="00632C4E"/>
    <w:rsid w:val="00650D07"/>
    <w:rsid w:val="00662880"/>
    <w:rsid w:val="006774BA"/>
    <w:rsid w:val="00677ACA"/>
    <w:rsid w:val="00686370"/>
    <w:rsid w:val="00697CDF"/>
    <w:rsid w:val="00697F5C"/>
    <w:rsid w:val="006A7DB5"/>
    <w:rsid w:val="006B2B11"/>
    <w:rsid w:val="006B6B5D"/>
    <w:rsid w:val="006B73C0"/>
    <w:rsid w:val="006B777D"/>
    <w:rsid w:val="006D43DD"/>
    <w:rsid w:val="006E1095"/>
    <w:rsid w:val="006E3590"/>
    <w:rsid w:val="006E7AAE"/>
    <w:rsid w:val="006E7E6E"/>
    <w:rsid w:val="00700E27"/>
    <w:rsid w:val="00703146"/>
    <w:rsid w:val="00725645"/>
    <w:rsid w:val="007431CC"/>
    <w:rsid w:val="0074788B"/>
    <w:rsid w:val="00747D93"/>
    <w:rsid w:val="00755614"/>
    <w:rsid w:val="007654B6"/>
    <w:rsid w:val="007725E0"/>
    <w:rsid w:val="007844C4"/>
    <w:rsid w:val="00785061"/>
    <w:rsid w:val="0079097D"/>
    <w:rsid w:val="00791D89"/>
    <w:rsid w:val="007A0292"/>
    <w:rsid w:val="007A2574"/>
    <w:rsid w:val="007B10F1"/>
    <w:rsid w:val="007B30FB"/>
    <w:rsid w:val="007B3919"/>
    <w:rsid w:val="007B3DB7"/>
    <w:rsid w:val="007C1E6E"/>
    <w:rsid w:val="007C3743"/>
    <w:rsid w:val="007C532D"/>
    <w:rsid w:val="007D04B6"/>
    <w:rsid w:val="007D1F89"/>
    <w:rsid w:val="007D231C"/>
    <w:rsid w:val="007E2042"/>
    <w:rsid w:val="007E2D66"/>
    <w:rsid w:val="00811C26"/>
    <w:rsid w:val="00813B66"/>
    <w:rsid w:val="00821282"/>
    <w:rsid w:val="008254A4"/>
    <w:rsid w:val="0083084B"/>
    <w:rsid w:val="00835979"/>
    <w:rsid w:val="008469B5"/>
    <w:rsid w:val="008533D3"/>
    <w:rsid w:val="00864839"/>
    <w:rsid w:val="00873E60"/>
    <w:rsid w:val="00885662"/>
    <w:rsid w:val="00886948"/>
    <w:rsid w:val="008940DE"/>
    <w:rsid w:val="00897522"/>
    <w:rsid w:val="008A3DD2"/>
    <w:rsid w:val="008B383F"/>
    <w:rsid w:val="008B6C1B"/>
    <w:rsid w:val="008C3ACF"/>
    <w:rsid w:val="008C685D"/>
    <w:rsid w:val="008D45C8"/>
    <w:rsid w:val="008E083A"/>
    <w:rsid w:val="008E0D30"/>
    <w:rsid w:val="008E3934"/>
    <w:rsid w:val="00900CEE"/>
    <w:rsid w:val="00912CEF"/>
    <w:rsid w:val="00924ECA"/>
    <w:rsid w:val="00927740"/>
    <w:rsid w:val="009278D5"/>
    <w:rsid w:val="0093310C"/>
    <w:rsid w:val="0094133F"/>
    <w:rsid w:val="00942F32"/>
    <w:rsid w:val="009438B8"/>
    <w:rsid w:val="00947132"/>
    <w:rsid w:val="00952EF4"/>
    <w:rsid w:val="00962043"/>
    <w:rsid w:val="009620AC"/>
    <w:rsid w:val="00963645"/>
    <w:rsid w:val="00965203"/>
    <w:rsid w:val="00965781"/>
    <w:rsid w:val="0097108C"/>
    <w:rsid w:val="009846C9"/>
    <w:rsid w:val="009860EB"/>
    <w:rsid w:val="00992BAA"/>
    <w:rsid w:val="009A7C06"/>
    <w:rsid w:val="009B02C6"/>
    <w:rsid w:val="009B06B7"/>
    <w:rsid w:val="009B687A"/>
    <w:rsid w:val="009C4D49"/>
    <w:rsid w:val="009D4303"/>
    <w:rsid w:val="009D5F21"/>
    <w:rsid w:val="009E44C8"/>
    <w:rsid w:val="00A037BA"/>
    <w:rsid w:val="00A21A4D"/>
    <w:rsid w:val="00A2234C"/>
    <w:rsid w:val="00A261E8"/>
    <w:rsid w:val="00A26777"/>
    <w:rsid w:val="00A27223"/>
    <w:rsid w:val="00A3205E"/>
    <w:rsid w:val="00A37279"/>
    <w:rsid w:val="00A434AF"/>
    <w:rsid w:val="00A51CD5"/>
    <w:rsid w:val="00A6474A"/>
    <w:rsid w:val="00A71CE3"/>
    <w:rsid w:val="00A71E7A"/>
    <w:rsid w:val="00A767CF"/>
    <w:rsid w:val="00A77A8D"/>
    <w:rsid w:val="00A908D7"/>
    <w:rsid w:val="00A9303D"/>
    <w:rsid w:val="00A94B88"/>
    <w:rsid w:val="00AA2E2E"/>
    <w:rsid w:val="00AA4C10"/>
    <w:rsid w:val="00AA5626"/>
    <w:rsid w:val="00AB160C"/>
    <w:rsid w:val="00AB51F8"/>
    <w:rsid w:val="00AB5C6D"/>
    <w:rsid w:val="00AB66A8"/>
    <w:rsid w:val="00AC4FE8"/>
    <w:rsid w:val="00AD5CE4"/>
    <w:rsid w:val="00AE0997"/>
    <w:rsid w:val="00AE6D3B"/>
    <w:rsid w:val="00AE7D52"/>
    <w:rsid w:val="00AF2F1E"/>
    <w:rsid w:val="00AF3C6C"/>
    <w:rsid w:val="00B13C4E"/>
    <w:rsid w:val="00B15F05"/>
    <w:rsid w:val="00B16C14"/>
    <w:rsid w:val="00B21384"/>
    <w:rsid w:val="00B21663"/>
    <w:rsid w:val="00B23157"/>
    <w:rsid w:val="00B23825"/>
    <w:rsid w:val="00B31AD6"/>
    <w:rsid w:val="00B3227A"/>
    <w:rsid w:val="00B339AB"/>
    <w:rsid w:val="00B37E62"/>
    <w:rsid w:val="00B412F5"/>
    <w:rsid w:val="00B515CE"/>
    <w:rsid w:val="00B54831"/>
    <w:rsid w:val="00B562AC"/>
    <w:rsid w:val="00B63064"/>
    <w:rsid w:val="00B66071"/>
    <w:rsid w:val="00B66FA3"/>
    <w:rsid w:val="00B70D70"/>
    <w:rsid w:val="00B76EE7"/>
    <w:rsid w:val="00B8265C"/>
    <w:rsid w:val="00B82AD1"/>
    <w:rsid w:val="00B87B87"/>
    <w:rsid w:val="00B9028A"/>
    <w:rsid w:val="00B9084A"/>
    <w:rsid w:val="00B92F19"/>
    <w:rsid w:val="00B955F1"/>
    <w:rsid w:val="00BA1748"/>
    <w:rsid w:val="00BA30A0"/>
    <w:rsid w:val="00BA4023"/>
    <w:rsid w:val="00BA78BC"/>
    <w:rsid w:val="00BB2845"/>
    <w:rsid w:val="00BB451D"/>
    <w:rsid w:val="00BC6688"/>
    <w:rsid w:val="00BD29B7"/>
    <w:rsid w:val="00BD4EC4"/>
    <w:rsid w:val="00BE247D"/>
    <w:rsid w:val="00BE5B2F"/>
    <w:rsid w:val="00BF3562"/>
    <w:rsid w:val="00C115FF"/>
    <w:rsid w:val="00C134E2"/>
    <w:rsid w:val="00C17561"/>
    <w:rsid w:val="00C20AB1"/>
    <w:rsid w:val="00C25449"/>
    <w:rsid w:val="00C34FD1"/>
    <w:rsid w:val="00C44013"/>
    <w:rsid w:val="00C46B22"/>
    <w:rsid w:val="00C54254"/>
    <w:rsid w:val="00C5780E"/>
    <w:rsid w:val="00C62461"/>
    <w:rsid w:val="00C65301"/>
    <w:rsid w:val="00C6793A"/>
    <w:rsid w:val="00C736FE"/>
    <w:rsid w:val="00C764DB"/>
    <w:rsid w:val="00C77099"/>
    <w:rsid w:val="00C82101"/>
    <w:rsid w:val="00C920AC"/>
    <w:rsid w:val="00C92CA1"/>
    <w:rsid w:val="00C96861"/>
    <w:rsid w:val="00C96B1A"/>
    <w:rsid w:val="00CA0963"/>
    <w:rsid w:val="00CA2A62"/>
    <w:rsid w:val="00CB56B4"/>
    <w:rsid w:val="00CC5663"/>
    <w:rsid w:val="00CC6743"/>
    <w:rsid w:val="00CD0B5A"/>
    <w:rsid w:val="00CD3681"/>
    <w:rsid w:val="00CD485E"/>
    <w:rsid w:val="00CE4B8B"/>
    <w:rsid w:val="00CE65EA"/>
    <w:rsid w:val="00D03787"/>
    <w:rsid w:val="00D04D1A"/>
    <w:rsid w:val="00D07DF8"/>
    <w:rsid w:val="00D20270"/>
    <w:rsid w:val="00D26589"/>
    <w:rsid w:val="00D345F7"/>
    <w:rsid w:val="00D4013C"/>
    <w:rsid w:val="00D40554"/>
    <w:rsid w:val="00D41CF4"/>
    <w:rsid w:val="00D52A67"/>
    <w:rsid w:val="00D65013"/>
    <w:rsid w:val="00D73316"/>
    <w:rsid w:val="00D97BF9"/>
    <w:rsid w:val="00DA49D7"/>
    <w:rsid w:val="00DB72B7"/>
    <w:rsid w:val="00DC014C"/>
    <w:rsid w:val="00DC272C"/>
    <w:rsid w:val="00DD3981"/>
    <w:rsid w:val="00DD46F4"/>
    <w:rsid w:val="00DE49A0"/>
    <w:rsid w:val="00DE70A4"/>
    <w:rsid w:val="00DF635E"/>
    <w:rsid w:val="00E13F18"/>
    <w:rsid w:val="00E22893"/>
    <w:rsid w:val="00E24769"/>
    <w:rsid w:val="00E24DAF"/>
    <w:rsid w:val="00E35532"/>
    <w:rsid w:val="00E37E61"/>
    <w:rsid w:val="00E53325"/>
    <w:rsid w:val="00E609D4"/>
    <w:rsid w:val="00E64F9D"/>
    <w:rsid w:val="00E74D82"/>
    <w:rsid w:val="00E76514"/>
    <w:rsid w:val="00E80759"/>
    <w:rsid w:val="00E83A43"/>
    <w:rsid w:val="00E86A84"/>
    <w:rsid w:val="00E87F98"/>
    <w:rsid w:val="00E914D7"/>
    <w:rsid w:val="00E97F89"/>
    <w:rsid w:val="00EA4ECA"/>
    <w:rsid w:val="00EB09FA"/>
    <w:rsid w:val="00EB7A39"/>
    <w:rsid w:val="00EC1C95"/>
    <w:rsid w:val="00EC55AF"/>
    <w:rsid w:val="00ED2EA8"/>
    <w:rsid w:val="00ED790E"/>
    <w:rsid w:val="00EE2DAF"/>
    <w:rsid w:val="00EF0553"/>
    <w:rsid w:val="00EF0806"/>
    <w:rsid w:val="00EF6B4E"/>
    <w:rsid w:val="00EF6D3F"/>
    <w:rsid w:val="00F11ACF"/>
    <w:rsid w:val="00F128A0"/>
    <w:rsid w:val="00F13CE8"/>
    <w:rsid w:val="00F179F3"/>
    <w:rsid w:val="00F211BD"/>
    <w:rsid w:val="00F23F91"/>
    <w:rsid w:val="00F2491B"/>
    <w:rsid w:val="00F25200"/>
    <w:rsid w:val="00F26BEC"/>
    <w:rsid w:val="00F31A96"/>
    <w:rsid w:val="00F32DA4"/>
    <w:rsid w:val="00F34314"/>
    <w:rsid w:val="00F37305"/>
    <w:rsid w:val="00F417B8"/>
    <w:rsid w:val="00F41B81"/>
    <w:rsid w:val="00F4383C"/>
    <w:rsid w:val="00F52D82"/>
    <w:rsid w:val="00F53013"/>
    <w:rsid w:val="00F55A41"/>
    <w:rsid w:val="00F6109A"/>
    <w:rsid w:val="00F77B5B"/>
    <w:rsid w:val="00F86EE6"/>
    <w:rsid w:val="00FA37C8"/>
    <w:rsid w:val="00FB0501"/>
    <w:rsid w:val="00FB77FD"/>
    <w:rsid w:val="00FC19FE"/>
    <w:rsid w:val="00FC6841"/>
    <w:rsid w:val="00FD42E9"/>
    <w:rsid w:val="00FE1F10"/>
    <w:rsid w:val="00FE3289"/>
    <w:rsid w:val="00FE6D99"/>
    <w:rsid w:val="00FF3A4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29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E29BC"/>
    <w:pPr>
      <w:keepNext/>
      <w:ind w:firstLine="851"/>
      <w:jc w:val="both"/>
      <w:outlineLvl w:val="0"/>
    </w:pPr>
    <w:rPr>
      <w:b/>
      <w:snapToGrid/>
      <w:szCs w:val="20"/>
    </w:rPr>
  </w:style>
  <w:style w:type="paragraph" w:styleId="2">
    <w:name w:val="heading 2"/>
    <w:basedOn w:val="a0"/>
    <w:next w:val="a0"/>
    <w:link w:val="20"/>
    <w:qFormat/>
    <w:rsid w:val="004E29BC"/>
    <w:pPr>
      <w:keepNext/>
      <w:ind w:firstLine="851"/>
      <w:jc w:val="both"/>
      <w:outlineLvl w:val="1"/>
    </w:pPr>
    <w:rPr>
      <w:snapToGrid/>
      <w:szCs w:val="20"/>
    </w:rPr>
  </w:style>
  <w:style w:type="paragraph" w:styleId="3">
    <w:name w:val="heading 3"/>
    <w:basedOn w:val="a0"/>
    <w:next w:val="a0"/>
    <w:link w:val="30"/>
    <w:qFormat/>
    <w:rsid w:val="004E29BC"/>
    <w:pPr>
      <w:keepNext/>
      <w:ind w:firstLine="709"/>
      <w:jc w:val="both"/>
      <w:outlineLvl w:val="2"/>
    </w:pPr>
    <w:rPr>
      <w:i/>
      <w:snapToGrid/>
      <w:szCs w:val="20"/>
      <w:u w:val="single"/>
    </w:rPr>
  </w:style>
  <w:style w:type="paragraph" w:styleId="4">
    <w:name w:val="heading 4"/>
    <w:basedOn w:val="a0"/>
    <w:next w:val="a0"/>
    <w:link w:val="40"/>
    <w:qFormat/>
    <w:rsid w:val="004E29BC"/>
    <w:pPr>
      <w:keepNext/>
      <w:ind w:left="284" w:firstLine="425"/>
      <w:jc w:val="center"/>
      <w:outlineLvl w:val="3"/>
    </w:pPr>
    <w:rPr>
      <w:b/>
      <w:snapToGrid/>
      <w:szCs w:val="20"/>
    </w:rPr>
  </w:style>
  <w:style w:type="paragraph" w:styleId="5">
    <w:name w:val="heading 5"/>
    <w:basedOn w:val="a0"/>
    <w:next w:val="a0"/>
    <w:link w:val="50"/>
    <w:qFormat/>
    <w:rsid w:val="004E29BC"/>
    <w:pPr>
      <w:keepNext/>
      <w:ind w:left="284" w:firstLine="425"/>
      <w:jc w:val="both"/>
      <w:outlineLvl w:val="4"/>
    </w:pPr>
    <w:rPr>
      <w:b/>
      <w:snapToGrid/>
      <w:szCs w:val="20"/>
    </w:rPr>
  </w:style>
  <w:style w:type="paragraph" w:styleId="6">
    <w:name w:val="heading 6"/>
    <w:basedOn w:val="a0"/>
    <w:next w:val="a0"/>
    <w:link w:val="60"/>
    <w:qFormat/>
    <w:rsid w:val="004E29BC"/>
    <w:pPr>
      <w:keepNext/>
      <w:jc w:val="center"/>
      <w:outlineLvl w:val="5"/>
    </w:pPr>
    <w:rPr>
      <w:b/>
      <w:snapToGrid/>
      <w:szCs w:val="20"/>
    </w:rPr>
  </w:style>
  <w:style w:type="paragraph" w:styleId="7">
    <w:name w:val="heading 7"/>
    <w:basedOn w:val="a0"/>
    <w:next w:val="a0"/>
    <w:link w:val="70"/>
    <w:qFormat/>
    <w:rsid w:val="004E29BC"/>
    <w:pPr>
      <w:keepNext/>
      <w:jc w:val="center"/>
      <w:outlineLvl w:val="6"/>
    </w:pPr>
    <w:rPr>
      <w:snapToGrid/>
      <w:szCs w:val="20"/>
      <w:u w:val="single"/>
    </w:rPr>
  </w:style>
  <w:style w:type="paragraph" w:styleId="8">
    <w:name w:val="heading 8"/>
    <w:basedOn w:val="a0"/>
    <w:next w:val="a0"/>
    <w:link w:val="80"/>
    <w:qFormat/>
    <w:rsid w:val="004E29BC"/>
    <w:pPr>
      <w:keepNext/>
      <w:ind w:firstLine="709"/>
      <w:jc w:val="center"/>
      <w:outlineLvl w:val="7"/>
    </w:pPr>
    <w:rPr>
      <w:b/>
      <w:snapToGrid/>
      <w:szCs w:val="20"/>
    </w:rPr>
  </w:style>
  <w:style w:type="paragraph" w:styleId="9">
    <w:name w:val="heading 9"/>
    <w:basedOn w:val="a0"/>
    <w:next w:val="a0"/>
    <w:link w:val="90"/>
    <w:qFormat/>
    <w:rsid w:val="004E29BC"/>
    <w:pPr>
      <w:keepNext/>
      <w:jc w:val="center"/>
      <w:outlineLvl w:val="8"/>
    </w:pPr>
    <w:rPr>
      <w:snapToGrid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4E29B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4E29BC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40">
    <w:name w:val="Заголовок 4 Знак"/>
    <w:basedOn w:val="a1"/>
    <w:link w:val="4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4E29B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80">
    <w:name w:val="Заголовок 8 Знак"/>
    <w:basedOn w:val="a1"/>
    <w:link w:val="8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1"/>
    <w:link w:val="9"/>
    <w:rsid w:val="004E29B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0"/>
    <w:link w:val="a5"/>
    <w:semiHidden/>
    <w:rsid w:val="004E29BC"/>
    <w:pPr>
      <w:jc w:val="both"/>
    </w:pPr>
    <w:rPr>
      <w:snapToGrid/>
      <w:szCs w:val="20"/>
    </w:rPr>
  </w:style>
  <w:style w:type="character" w:customStyle="1" w:styleId="a5">
    <w:name w:val="Основной текст Знак"/>
    <w:basedOn w:val="a1"/>
    <w:link w:val="a4"/>
    <w:rsid w:val="004E29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2"/>
    <w:uiPriority w:val="59"/>
    <w:rsid w:val="004E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4E29BC"/>
    <w:pPr>
      <w:tabs>
        <w:tab w:val="center" w:pos="4153"/>
        <w:tab w:val="right" w:pos="8306"/>
      </w:tabs>
    </w:pPr>
    <w:rPr>
      <w:snapToGrid/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4E2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4E29BC"/>
    <w:pPr>
      <w:tabs>
        <w:tab w:val="center" w:pos="4153"/>
        <w:tab w:val="right" w:pos="8306"/>
      </w:tabs>
    </w:pPr>
    <w:rPr>
      <w:snapToGrid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4E2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4E29BC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4E29B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1">
    <w:name w:val="Body Text First Indent 2"/>
    <w:aliases w:val=" Знак"/>
    <w:basedOn w:val="ab"/>
    <w:link w:val="22"/>
    <w:rsid w:val="004E29BC"/>
    <w:pPr>
      <w:ind w:firstLine="210"/>
    </w:pPr>
  </w:style>
  <w:style w:type="character" w:customStyle="1" w:styleId="22">
    <w:name w:val="Красная строка 2 Знак"/>
    <w:aliases w:val=" Знак Знак"/>
    <w:basedOn w:val="ac"/>
    <w:link w:val="21"/>
    <w:rsid w:val="004E29B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ConsPlusCell">
    <w:name w:val="ConsPlusCell"/>
    <w:uiPriority w:val="99"/>
    <w:rsid w:val="004E2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2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semiHidden/>
    <w:rsid w:val="004E29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4E29BC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31">
    <w:name w:val="Body Text Indent 3"/>
    <w:basedOn w:val="a0"/>
    <w:link w:val="32"/>
    <w:semiHidden/>
    <w:rsid w:val="004E29BC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4E29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Title"/>
    <w:basedOn w:val="a0"/>
    <w:link w:val="ae"/>
    <w:qFormat/>
    <w:rsid w:val="004E29BC"/>
    <w:pPr>
      <w:ind w:left="851" w:right="850"/>
      <w:jc w:val="center"/>
    </w:pPr>
    <w:rPr>
      <w:b/>
      <w:snapToGrid/>
      <w:szCs w:val="20"/>
    </w:rPr>
  </w:style>
  <w:style w:type="character" w:customStyle="1" w:styleId="ae">
    <w:name w:val="Название Знак"/>
    <w:basedOn w:val="a1"/>
    <w:link w:val="ad"/>
    <w:rsid w:val="004E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4E29B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"/>
    <w:basedOn w:val="a0"/>
    <w:semiHidden/>
    <w:rsid w:val="004E29BC"/>
    <w:pPr>
      <w:ind w:left="283" w:hanging="283"/>
    </w:pPr>
    <w:rPr>
      <w:snapToGrid/>
      <w:sz w:val="20"/>
      <w:szCs w:val="20"/>
    </w:rPr>
  </w:style>
  <w:style w:type="paragraph" w:styleId="af0">
    <w:name w:val="List Bullet"/>
    <w:basedOn w:val="a0"/>
    <w:autoRedefine/>
    <w:semiHidden/>
    <w:rsid w:val="004E29BC"/>
    <w:pPr>
      <w:tabs>
        <w:tab w:val="num" w:pos="360"/>
      </w:tabs>
      <w:ind w:left="360" w:hanging="360"/>
    </w:pPr>
    <w:rPr>
      <w:snapToGrid/>
      <w:szCs w:val="20"/>
    </w:rPr>
  </w:style>
  <w:style w:type="paragraph" w:styleId="a">
    <w:name w:val="Subtitle"/>
    <w:basedOn w:val="a0"/>
    <w:link w:val="af1"/>
    <w:qFormat/>
    <w:rsid w:val="004E29BC"/>
    <w:pPr>
      <w:numPr>
        <w:numId w:val="1"/>
      </w:numPr>
      <w:tabs>
        <w:tab w:val="clear" w:pos="360"/>
      </w:tabs>
      <w:spacing w:after="60"/>
      <w:ind w:left="0" w:firstLine="0"/>
      <w:jc w:val="center"/>
      <w:outlineLvl w:val="1"/>
    </w:pPr>
    <w:rPr>
      <w:rFonts w:ascii="Arial" w:hAnsi="Arial"/>
      <w:snapToGrid/>
      <w:sz w:val="24"/>
      <w:szCs w:val="20"/>
    </w:rPr>
  </w:style>
  <w:style w:type="character" w:customStyle="1" w:styleId="af1">
    <w:name w:val="Подзаголовок Знак"/>
    <w:basedOn w:val="a1"/>
    <w:link w:val="a"/>
    <w:rsid w:val="004E29BC"/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4E29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4E29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1"/>
    <w:rsid w:val="004E29BC"/>
  </w:style>
  <w:style w:type="paragraph" w:customStyle="1" w:styleId="11">
    <w:name w:val="Стиль1"/>
    <w:basedOn w:val="a0"/>
    <w:link w:val="12"/>
    <w:autoRedefine/>
    <w:rsid w:val="004E29BC"/>
    <w:pPr>
      <w:ind w:firstLine="709"/>
      <w:jc w:val="both"/>
    </w:pPr>
    <w:rPr>
      <w:snapToGrid/>
    </w:rPr>
  </w:style>
  <w:style w:type="paragraph" w:styleId="af3">
    <w:name w:val="No Spacing"/>
    <w:link w:val="af4"/>
    <w:uiPriority w:val="1"/>
    <w:qFormat/>
    <w:rsid w:val="004E29BC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4E29BC"/>
    <w:pPr>
      <w:jc w:val="center"/>
    </w:pPr>
    <w:rPr>
      <w:b/>
      <w:snapToGrid/>
      <w:sz w:val="32"/>
      <w:szCs w:val="20"/>
    </w:rPr>
  </w:style>
  <w:style w:type="character" w:customStyle="1" w:styleId="34">
    <w:name w:val="Основной текст 3 Знак"/>
    <w:basedOn w:val="a1"/>
    <w:link w:val="33"/>
    <w:rsid w:val="004E29BC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alloon Text"/>
    <w:basedOn w:val="a0"/>
    <w:link w:val="af6"/>
    <w:rsid w:val="004E29B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E29BC"/>
    <w:rPr>
      <w:rFonts w:ascii="Tahoma" w:eastAsia="Times New Roman" w:hAnsi="Tahoma" w:cs="Times New Roman"/>
      <w:snapToGrid w:val="0"/>
      <w:sz w:val="16"/>
      <w:szCs w:val="16"/>
    </w:rPr>
  </w:style>
  <w:style w:type="paragraph" w:styleId="af7">
    <w:name w:val="List Paragraph"/>
    <w:basedOn w:val="a0"/>
    <w:uiPriority w:val="34"/>
    <w:qFormat/>
    <w:rsid w:val="004E29B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25">
    <w:name w:val="Стиль2"/>
    <w:basedOn w:val="a0"/>
    <w:rsid w:val="004E29BC"/>
    <w:pPr>
      <w:ind w:firstLine="709"/>
      <w:jc w:val="both"/>
    </w:pPr>
    <w:rPr>
      <w:snapToGrid/>
      <w:szCs w:val="20"/>
    </w:rPr>
  </w:style>
  <w:style w:type="character" w:customStyle="1" w:styleId="af4">
    <w:name w:val="Без интервала Знак"/>
    <w:link w:val="af3"/>
    <w:uiPriority w:val="1"/>
    <w:rsid w:val="004E29BC"/>
    <w:rPr>
      <w:rFonts w:ascii="Calibri" w:eastAsia="Calibri" w:hAnsi="Calibri" w:cs="Times New Roman"/>
    </w:rPr>
  </w:style>
  <w:style w:type="paragraph" w:customStyle="1" w:styleId="Pro-Gramma">
    <w:name w:val="Pro-Gramma"/>
    <w:basedOn w:val="a0"/>
    <w:link w:val="Pro-Gramma0"/>
    <w:qFormat/>
    <w:rsid w:val="004E29BC"/>
    <w:pPr>
      <w:spacing w:before="120" w:line="288" w:lineRule="auto"/>
      <w:ind w:left="1134"/>
      <w:jc w:val="both"/>
    </w:pPr>
    <w:rPr>
      <w:rFonts w:ascii="Georgia" w:hAnsi="Georgia"/>
      <w:snapToGrid/>
      <w:sz w:val="20"/>
      <w:szCs w:val="24"/>
    </w:rPr>
  </w:style>
  <w:style w:type="character" w:customStyle="1" w:styleId="Pro-Gramma0">
    <w:name w:val="Pro-Gramma Знак"/>
    <w:link w:val="Pro-Gramma"/>
    <w:rsid w:val="004E29BC"/>
    <w:rPr>
      <w:rFonts w:ascii="Georgia" w:eastAsia="Times New Roman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4E29BC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Pro-Gramma"/>
    <w:rsid w:val="004E29BC"/>
    <w:pPr>
      <w:widowControl w:val="0"/>
      <w:suppressAutoHyphens/>
      <w:spacing w:before="40" w:after="40" w:line="100" w:lineRule="atLeast"/>
      <w:ind w:left="0"/>
      <w:jc w:val="left"/>
    </w:pPr>
    <w:rPr>
      <w:rFonts w:ascii="Tahoma" w:hAnsi="Tahoma"/>
      <w:kern w:val="1"/>
      <w:sz w:val="16"/>
      <w:szCs w:val="20"/>
      <w:lang w:eastAsia="en-US"/>
    </w:rPr>
  </w:style>
  <w:style w:type="paragraph" w:customStyle="1" w:styleId="Default">
    <w:name w:val="Default"/>
    <w:rsid w:val="004E2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34"/>
    <w:qFormat/>
    <w:rsid w:val="004E29BC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af8">
    <w:name w:val="Intense Quote"/>
    <w:basedOn w:val="a0"/>
    <w:next w:val="a0"/>
    <w:link w:val="af9"/>
    <w:uiPriority w:val="30"/>
    <w:qFormat/>
    <w:rsid w:val="004E29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snapToGrid/>
      <w:color w:val="4F81BD"/>
      <w:sz w:val="22"/>
      <w:szCs w:val="22"/>
    </w:rPr>
  </w:style>
  <w:style w:type="character" w:customStyle="1" w:styleId="af9">
    <w:name w:val="Выделенная цитата Знак"/>
    <w:basedOn w:val="a1"/>
    <w:link w:val="af8"/>
    <w:uiPriority w:val="30"/>
    <w:rsid w:val="004E29BC"/>
    <w:rPr>
      <w:rFonts w:ascii="Calibri" w:eastAsia="Times New Roman" w:hAnsi="Calibri" w:cs="Times New Roman"/>
      <w:b/>
      <w:bCs/>
      <w:i/>
      <w:iCs/>
      <w:color w:val="4F81BD"/>
    </w:rPr>
  </w:style>
  <w:style w:type="paragraph" w:styleId="afa">
    <w:name w:val="endnote text"/>
    <w:basedOn w:val="a0"/>
    <w:link w:val="afb"/>
    <w:rsid w:val="004E29BC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4E29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c">
    <w:name w:val="endnote reference"/>
    <w:rsid w:val="004E29BC"/>
    <w:rPr>
      <w:vertAlign w:val="superscript"/>
    </w:rPr>
  </w:style>
  <w:style w:type="table" w:customStyle="1" w:styleId="35">
    <w:name w:val="Сетка таблицы3"/>
    <w:basedOn w:val="a2"/>
    <w:uiPriority w:val="59"/>
    <w:rsid w:val="004E2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4E29BC"/>
  </w:style>
  <w:style w:type="numbering" w:customStyle="1" w:styleId="26">
    <w:name w:val="Нет списка2"/>
    <w:next w:val="a3"/>
    <w:uiPriority w:val="99"/>
    <w:semiHidden/>
    <w:unhideWhenUsed/>
    <w:rsid w:val="004E29BC"/>
  </w:style>
  <w:style w:type="paragraph" w:customStyle="1" w:styleId="27">
    <w:name w:val="Абзац списка2"/>
    <w:basedOn w:val="a0"/>
    <w:uiPriority w:val="34"/>
    <w:qFormat/>
    <w:rsid w:val="007C3743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customStyle="1" w:styleId="36">
    <w:name w:val="Абзац списка3"/>
    <w:basedOn w:val="a0"/>
    <w:uiPriority w:val="34"/>
    <w:qFormat/>
    <w:rsid w:val="006B2B11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237F89"/>
    <w:rPr>
      <w:color w:val="0000FF"/>
      <w:u w:val="single"/>
    </w:rPr>
  </w:style>
  <w:style w:type="character" w:styleId="afe">
    <w:name w:val="FollowedHyperlink"/>
    <w:basedOn w:val="a1"/>
    <w:uiPriority w:val="99"/>
    <w:semiHidden/>
    <w:unhideWhenUsed/>
    <w:rsid w:val="00237F89"/>
    <w:rPr>
      <w:color w:val="800080"/>
      <w:u w:val="single"/>
    </w:rPr>
  </w:style>
  <w:style w:type="paragraph" w:customStyle="1" w:styleId="xl133">
    <w:name w:val="xl133"/>
    <w:basedOn w:val="a0"/>
    <w:rsid w:val="00237F8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134">
    <w:name w:val="xl134"/>
    <w:basedOn w:val="a0"/>
    <w:rsid w:val="00237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napToGrid/>
      <w:color w:val="000000"/>
      <w:sz w:val="24"/>
      <w:szCs w:val="24"/>
    </w:rPr>
  </w:style>
  <w:style w:type="paragraph" w:customStyle="1" w:styleId="xl135">
    <w:name w:val="xl135"/>
    <w:basedOn w:val="a0"/>
    <w:rsid w:val="00237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napToGrid/>
      <w:color w:val="000000"/>
      <w:sz w:val="24"/>
      <w:szCs w:val="24"/>
    </w:rPr>
  </w:style>
  <w:style w:type="paragraph" w:customStyle="1" w:styleId="xl136">
    <w:name w:val="xl136"/>
    <w:basedOn w:val="a0"/>
    <w:rsid w:val="009D5F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napToGrid/>
      <w:color w:val="000000"/>
      <w:sz w:val="24"/>
      <w:szCs w:val="24"/>
    </w:rPr>
  </w:style>
  <w:style w:type="paragraph" w:customStyle="1" w:styleId="xl137">
    <w:name w:val="xl137"/>
    <w:basedOn w:val="a0"/>
    <w:rsid w:val="009D5F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napToGrid/>
      <w:color w:val="000000"/>
      <w:sz w:val="24"/>
      <w:szCs w:val="24"/>
    </w:rPr>
  </w:style>
  <w:style w:type="paragraph" w:customStyle="1" w:styleId="formattext">
    <w:name w:val="formattext"/>
    <w:basedOn w:val="a0"/>
    <w:rsid w:val="005A34F5"/>
    <w:pPr>
      <w:spacing w:before="100" w:beforeAutospacing="1" w:after="100" w:afterAutospacing="1"/>
    </w:pPr>
    <w:rPr>
      <w:snapToGrid/>
      <w:sz w:val="24"/>
      <w:szCs w:val="24"/>
    </w:rPr>
  </w:style>
  <w:style w:type="paragraph" w:styleId="aff">
    <w:name w:val="Normal (Web)"/>
    <w:basedOn w:val="a0"/>
    <w:uiPriority w:val="99"/>
    <w:unhideWhenUsed/>
    <w:rsid w:val="008C685D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41">
    <w:name w:val="Абзац списка4"/>
    <w:basedOn w:val="a0"/>
    <w:uiPriority w:val="34"/>
    <w:qFormat/>
    <w:rsid w:val="0045646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numbering" w:customStyle="1" w:styleId="37">
    <w:name w:val="Нет списка3"/>
    <w:next w:val="a3"/>
    <w:uiPriority w:val="99"/>
    <w:semiHidden/>
    <w:unhideWhenUsed/>
    <w:rsid w:val="00EF0553"/>
  </w:style>
  <w:style w:type="table" w:customStyle="1" w:styleId="15">
    <w:name w:val="Сетка таблицы1"/>
    <w:basedOn w:val="a2"/>
    <w:next w:val="a6"/>
    <w:uiPriority w:val="59"/>
    <w:rsid w:val="00EF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EF0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F0553"/>
  </w:style>
  <w:style w:type="numbering" w:customStyle="1" w:styleId="210">
    <w:name w:val="Нет списка21"/>
    <w:next w:val="a3"/>
    <w:uiPriority w:val="99"/>
    <w:semiHidden/>
    <w:unhideWhenUsed/>
    <w:rsid w:val="00EF0553"/>
  </w:style>
  <w:style w:type="character" w:customStyle="1" w:styleId="aff0">
    <w:name w:val="Основной текст_"/>
    <w:basedOn w:val="a1"/>
    <w:link w:val="28"/>
    <w:rsid w:val="00A767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0"/>
    <w:rsid w:val="00A767CF"/>
    <w:pPr>
      <w:widowControl w:val="0"/>
      <w:shd w:val="clear" w:color="auto" w:fill="FFFFFF"/>
      <w:spacing w:before="600" w:after="240" w:line="307" w:lineRule="exact"/>
      <w:jc w:val="center"/>
    </w:pPr>
    <w:rPr>
      <w:snapToGrid/>
      <w:sz w:val="26"/>
      <w:szCs w:val="26"/>
      <w:lang w:eastAsia="en-US"/>
    </w:rPr>
  </w:style>
  <w:style w:type="character" w:customStyle="1" w:styleId="16">
    <w:name w:val="Основной текст1"/>
    <w:basedOn w:val="aff0"/>
    <w:rsid w:val="00A7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f0"/>
    <w:rsid w:val="00A767CF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1">
    <w:name w:val="Strong"/>
    <w:basedOn w:val="a1"/>
    <w:uiPriority w:val="22"/>
    <w:qFormat/>
    <w:rsid w:val="00A767CF"/>
    <w:rPr>
      <w:b/>
      <w:bCs/>
    </w:rPr>
  </w:style>
  <w:style w:type="character" w:customStyle="1" w:styleId="12">
    <w:name w:val="Стиль1 Знак"/>
    <w:link w:val="11"/>
    <w:rsid w:val="00C440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29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E29BC"/>
    <w:pPr>
      <w:keepNext/>
      <w:ind w:firstLine="851"/>
      <w:jc w:val="both"/>
      <w:outlineLvl w:val="0"/>
    </w:pPr>
    <w:rPr>
      <w:b/>
      <w:snapToGrid/>
      <w:szCs w:val="20"/>
    </w:rPr>
  </w:style>
  <w:style w:type="paragraph" w:styleId="2">
    <w:name w:val="heading 2"/>
    <w:basedOn w:val="a0"/>
    <w:next w:val="a0"/>
    <w:link w:val="20"/>
    <w:qFormat/>
    <w:rsid w:val="004E29BC"/>
    <w:pPr>
      <w:keepNext/>
      <w:ind w:firstLine="851"/>
      <w:jc w:val="both"/>
      <w:outlineLvl w:val="1"/>
    </w:pPr>
    <w:rPr>
      <w:snapToGrid/>
      <w:szCs w:val="20"/>
    </w:rPr>
  </w:style>
  <w:style w:type="paragraph" w:styleId="3">
    <w:name w:val="heading 3"/>
    <w:basedOn w:val="a0"/>
    <w:next w:val="a0"/>
    <w:link w:val="30"/>
    <w:qFormat/>
    <w:rsid w:val="004E29BC"/>
    <w:pPr>
      <w:keepNext/>
      <w:ind w:firstLine="709"/>
      <w:jc w:val="both"/>
      <w:outlineLvl w:val="2"/>
    </w:pPr>
    <w:rPr>
      <w:i/>
      <w:snapToGrid/>
      <w:szCs w:val="20"/>
      <w:u w:val="single"/>
    </w:rPr>
  </w:style>
  <w:style w:type="paragraph" w:styleId="4">
    <w:name w:val="heading 4"/>
    <w:basedOn w:val="a0"/>
    <w:next w:val="a0"/>
    <w:link w:val="40"/>
    <w:qFormat/>
    <w:rsid w:val="004E29BC"/>
    <w:pPr>
      <w:keepNext/>
      <w:ind w:left="284" w:firstLine="425"/>
      <w:jc w:val="center"/>
      <w:outlineLvl w:val="3"/>
    </w:pPr>
    <w:rPr>
      <w:b/>
      <w:snapToGrid/>
      <w:szCs w:val="20"/>
    </w:rPr>
  </w:style>
  <w:style w:type="paragraph" w:styleId="5">
    <w:name w:val="heading 5"/>
    <w:basedOn w:val="a0"/>
    <w:next w:val="a0"/>
    <w:link w:val="50"/>
    <w:qFormat/>
    <w:rsid w:val="004E29BC"/>
    <w:pPr>
      <w:keepNext/>
      <w:ind w:left="284" w:firstLine="425"/>
      <w:jc w:val="both"/>
      <w:outlineLvl w:val="4"/>
    </w:pPr>
    <w:rPr>
      <w:b/>
      <w:snapToGrid/>
      <w:szCs w:val="20"/>
    </w:rPr>
  </w:style>
  <w:style w:type="paragraph" w:styleId="6">
    <w:name w:val="heading 6"/>
    <w:basedOn w:val="a0"/>
    <w:next w:val="a0"/>
    <w:link w:val="60"/>
    <w:qFormat/>
    <w:rsid w:val="004E29BC"/>
    <w:pPr>
      <w:keepNext/>
      <w:jc w:val="center"/>
      <w:outlineLvl w:val="5"/>
    </w:pPr>
    <w:rPr>
      <w:b/>
      <w:snapToGrid/>
      <w:szCs w:val="20"/>
    </w:rPr>
  </w:style>
  <w:style w:type="paragraph" w:styleId="7">
    <w:name w:val="heading 7"/>
    <w:basedOn w:val="a0"/>
    <w:next w:val="a0"/>
    <w:link w:val="70"/>
    <w:qFormat/>
    <w:rsid w:val="004E29BC"/>
    <w:pPr>
      <w:keepNext/>
      <w:jc w:val="center"/>
      <w:outlineLvl w:val="6"/>
    </w:pPr>
    <w:rPr>
      <w:snapToGrid/>
      <w:szCs w:val="20"/>
      <w:u w:val="single"/>
    </w:rPr>
  </w:style>
  <w:style w:type="paragraph" w:styleId="8">
    <w:name w:val="heading 8"/>
    <w:basedOn w:val="a0"/>
    <w:next w:val="a0"/>
    <w:link w:val="80"/>
    <w:qFormat/>
    <w:rsid w:val="004E29BC"/>
    <w:pPr>
      <w:keepNext/>
      <w:ind w:firstLine="709"/>
      <w:jc w:val="center"/>
      <w:outlineLvl w:val="7"/>
    </w:pPr>
    <w:rPr>
      <w:b/>
      <w:snapToGrid/>
      <w:szCs w:val="20"/>
    </w:rPr>
  </w:style>
  <w:style w:type="paragraph" w:styleId="9">
    <w:name w:val="heading 9"/>
    <w:basedOn w:val="a0"/>
    <w:next w:val="a0"/>
    <w:link w:val="90"/>
    <w:qFormat/>
    <w:rsid w:val="004E29BC"/>
    <w:pPr>
      <w:keepNext/>
      <w:jc w:val="center"/>
      <w:outlineLvl w:val="8"/>
    </w:pPr>
    <w:rPr>
      <w:snapToGrid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4E29B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4E29BC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40">
    <w:name w:val="Заголовок 4 Знак"/>
    <w:basedOn w:val="a1"/>
    <w:link w:val="4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4E29B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80">
    <w:name w:val="Заголовок 8 Знак"/>
    <w:basedOn w:val="a1"/>
    <w:link w:val="8"/>
    <w:rsid w:val="004E29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1"/>
    <w:link w:val="9"/>
    <w:rsid w:val="004E29B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0"/>
    <w:link w:val="a5"/>
    <w:semiHidden/>
    <w:rsid w:val="004E29BC"/>
    <w:pPr>
      <w:jc w:val="both"/>
    </w:pPr>
    <w:rPr>
      <w:snapToGrid/>
      <w:szCs w:val="20"/>
    </w:rPr>
  </w:style>
  <w:style w:type="character" w:customStyle="1" w:styleId="a5">
    <w:name w:val="Основной текст Знак"/>
    <w:basedOn w:val="a1"/>
    <w:link w:val="a4"/>
    <w:semiHidden/>
    <w:rsid w:val="004E29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2"/>
    <w:uiPriority w:val="59"/>
    <w:rsid w:val="004E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4E29BC"/>
    <w:pPr>
      <w:tabs>
        <w:tab w:val="center" w:pos="4153"/>
        <w:tab w:val="right" w:pos="8306"/>
      </w:tabs>
    </w:pPr>
    <w:rPr>
      <w:snapToGrid/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4E2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4E29BC"/>
    <w:pPr>
      <w:tabs>
        <w:tab w:val="center" w:pos="4153"/>
        <w:tab w:val="right" w:pos="8306"/>
      </w:tabs>
    </w:pPr>
    <w:rPr>
      <w:snapToGrid/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4E2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4E29BC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4E29B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1">
    <w:name w:val="Body Text First Indent 2"/>
    <w:aliases w:val=" Знак"/>
    <w:basedOn w:val="ab"/>
    <w:link w:val="22"/>
    <w:rsid w:val="004E29BC"/>
    <w:pPr>
      <w:ind w:firstLine="210"/>
    </w:pPr>
  </w:style>
  <w:style w:type="character" w:customStyle="1" w:styleId="22">
    <w:name w:val="Красная строка 2 Знак"/>
    <w:aliases w:val=" Знак Знак"/>
    <w:basedOn w:val="ac"/>
    <w:link w:val="21"/>
    <w:rsid w:val="004E29B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ConsPlusCell">
    <w:name w:val="ConsPlusCell"/>
    <w:uiPriority w:val="99"/>
    <w:rsid w:val="004E2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2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semiHidden/>
    <w:rsid w:val="004E29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4E29BC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31">
    <w:name w:val="Body Text Indent 3"/>
    <w:basedOn w:val="a0"/>
    <w:link w:val="32"/>
    <w:semiHidden/>
    <w:rsid w:val="004E29BC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4E29B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Title"/>
    <w:basedOn w:val="a0"/>
    <w:link w:val="ae"/>
    <w:qFormat/>
    <w:rsid w:val="004E29BC"/>
    <w:pPr>
      <w:ind w:left="851" w:right="850"/>
      <w:jc w:val="center"/>
    </w:pPr>
    <w:rPr>
      <w:b/>
      <w:snapToGrid/>
      <w:szCs w:val="20"/>
    </w:rPr>
  </w:style>
  <w:style w:type="character" w:customStyle="1" w:styleId="ae">
    <w:name w:val="Название Знак"/>
    <w:basedOn w:val="a1"/>
    <w:link w:val="ad"/>
    <w:rsid w:val="004E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4E29B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"/>
    <w:basedOn w:val="a0"/>
    <w:semiHidden/>
    <w:rsid w:val="004E29BC"/>
    <w:pPr>
      <w:ind w:left="283" w:hanging="283"/>
    </w:pPr>
    <w:rPr>
      <w:snapToGrid/>
      <w:sz w:val="20"/>
      <w:szCs w:val="20"/>
    </w:rPr>
  </w:style>
  <w:style w:type="paragraph" w:styleId="af0">
    <w:name w:val="List Bullet"/>
    <w:basedOn w:val="a0"/>
    <w:autoRedefine/>
    <w:semiHidden/>
    <w:rsid w:val="004E29BC"/>
    <w:pPr>
      <w:tabs>
        <w:tab w:val="num" w:pos="360"/>
      </w:tabs>
      <w:ind w:left="360" w:hanging="360"/>
    </w:pPr>
    <w:rPr>
      <w:snapToGrid/>
      <w:szCs w:val="20"/>
    </w:rPr>
  </w:style>
  <w:style w:type="paragraph" w:styleId="a">
    <w:name w:val="Subtitle"/>
    <w:basedOn w:val="a0"/>
    <w:link w:val="af1"/>
    <w:qFormat/>
    <w:rsid w:val="004E29BC"/>
    <w:pPr>
      <w:numPr>
        <w:numId w:val="1"/>
      </w:numPr>
      <w:tabs>
        <w:tab w:val="clear" w:pos="360"/>
      </w:tabs>
      <w:spacing w:after="60"/>
      <w:ind w:left="0" w:firstLine="0"/>
      <w:jc w:val="center"/>
      <w:outlineLvl w:val="1"/>
    </w:pPr>
    <w:rPr>
      <w:rFonts w:ascii="Arial" w:hAnsi="Arial"/>
      <w:snapToGrid/>
      <w:sz w:val="24"/>
      <w:szCs w:val="20"/>
    </w:rPr>
  </w:style>
  <w:style w:type="character" w:customStyle="1" w:styleId="af1">
    <w:name w:val="Подзаголовок Знак"/>
    <w:basedOn w:val="a1"/>
    <w:link w:val="a"/>
    <w:rsid w:val="004E29BC"/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4E29B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4E29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1"/>
    <w:rsid w:val="004E29BC"/>
  </w:style>
  <w:style w:type="paragraph" w:customStyle="1" w:styleId="11">
    <w:name w:val="Стиль1"/>
    <w:basedOn w:val="a0"/>
    <w:autoRedefine/>
    <w:rsid w:val="004E29BC"/>
    <w:pPr>
      <w:ind w:firstLine="709"/>
      <w:jc w:val="both"/>
    </w:pPr>
    <w:rPr>
      <w:snapToGrid/>
    </w:rPr>
  </w:style>
  <w:style w:type="paragraph" w:styleId="af3">
    <w:name w:val="No Spacing"/>
    <w:link w:val="af4"/>
    <w:uiPriority w:val="1"/>
    <w:qFormat/>
    <w:rsid w:val="004E29BC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3"/>
    <w:basedOn w:val="a0"/>
    <w:link w:val="34"/>
    <w:rsid w:val="004E29BC"/>
    <w:pPr>
      <w:jc w:val="center"/>
    </w:pPr>
    <w:rPr>
      <w:b/>
      <w:snapToGrid/>
      <w:sz w:val="32"/>
      <w:szCs w:val="20"/>
    </w:rPr>
  </w:style>
  <w:style w:type="character" w:customStyle="1" w:styleId="34">
    <w:name w:val="Основной текст 3 Знак"/>
    <w:basedOn w:val="a1"/>
    <w:link w:val="33"/>
    <w:rsid w:val="004E29BC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alloon Text"/>
    <w:basedOn w:val="a0"/>
    <w:link w:val="af6"/>
    <w:rsid w:val="004E29B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E29BC"/>
    <w:rPr>
      <w:rFonts w:ascii="Tahoma" w:eastAsia="Times New Roman" w:hAnsi="Tahoma" w:cs="Times New Roman"/>
      <w:snapToGrid w:val="0"/>
      <w:sz w:val="16"/>
      <w:szCs w:val="16"/>
    </w:rPr>
  </w:style>
  <w:style w:type="paragraph" w:styleId="af7">
    <w:name w:val="List Paragraph"/>
    <w:basedOn w:val="a0"/>
    <w:uiPriority w:val="34"/>
    <w:qFormat/>
    <w:rsid w:val="004E29B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25">
    <w:name w:val="Стиль2"/>
    <w:basedOn w:val="a0"/>
    <w:rsid w:val="004E29BC"/>
    <w:pPr>
      <w:ind w:firstLine="709"/>
      <w:jc w:val="both"/>
    </w:pPr>
    <w:rPr>
      <w:snapToGrid/>
      <w:szCs w:val="20"/>
    </w:rPr>
  </w:style>
  <w:style w:type="character" w:customStyle="1" w:styleId="af4">
    <w:name w:val="Без интервала Знак"/>
    <w:link w:val="af3"/>
    <w:uiPriority w:val="1"/>
    <w:rsid w:val="004E29BC"/>
    <w:rPr>
      <w:rFonts w:ascii="Calibri" w:eastAsia="Calibri" w:hAnsi="Calibri" w:cs="Times New Roman"/>
    </w:rPr>
  </w:style>
  <w:style w:type="paragraph" w:customStyle="1" w:styleId="Pro-Gramma">
    <w:name w:val="Pro-Gramma"/>
    <w:basedOn w:val="a0"/>
    <w:link w:val="Pro-Gramma0"/>
    <w:qFormat/>
    <w:rsid w:val="004E29BC"/>
    <w:pPr>
      <w:spacing w:before="120" w:line="288" w:lineRule="auto"/>
      <w:ind w:left="1134"/>
      <w:jc w:val="both"/>
    </w:pPr>
    <w:rPr>
      <w:rFonts w:ascii="Georgia" w:hAnsi="Georgia"/>
      <w:snapToGrid/>
      <w:sz w:val="20"/>
      <w:szCs w:val="24"/>
    </w:rPr>
  </w:style>
  <w:style w:type="character" w:customStyle="1" w:styleId="Pro-Gramma0">
    <w:name w:val="Pro-Gramma Знак"/>
    <w:link w:val="Pro-Gramma"/>
    <w:rsid w:val="004E29BC"/>
    <w:rPr>
      <w:rFonts w:ascii="Georgia" w:eastAsia="Times New Roman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4E29BC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Pro-Gramma"/>
    <w:rsid w:val="004E29BC"/>
    <w:pPr>
      <w:widowControl w:val="0"/>
      <w:suppressAutoHyphens/>
      <w:spacing w:before="40" w:after="40" w:line="100" w:lineRule="atLeast"/>
      <w:ind w:left="0"/>
      <w:jc w:val="left"/>
    </w:pPr>
    <w:rPr>
      <w:rFonts w:ascii="Tahoma" w:hAnsi="Tahoma"/>
      <w:kern w:val="1"/>
      <w:sz w:val="16"/>
      <w:szCs w:val="20"/>
      <w:lang w:eastAsia="en-US"/>
    </w:rPr>
  </w:style>
  <w:style w:type="paragraph" w:customStyle="1" w:styleId="Default">
    <w:name w:val="Default"/>
    <w:rsid w:val="004E2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34"/>
    <w:qFormat/>
    <w:rsid w:val="004E29BC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af8">
    <w:name w:val="Intense Quote"/>
    <w:basedOn w:val="a0"/>
    <w:next w:val="a0"/>
    <w:link w:val="af9"/>
    <w:uiPriority w:val="30"/>
    <w:qFormat/>
    <w:rsid w:val="004E29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snapToGrid/>
      <w:color w:val="4F81BD"/>
      <w:sz w:val="22"/>
      <w:szCs w:val="22"/>
    </w:rPr>
  </w:style>
  <w:style w:type="character" w:customStyle="1" w:styleId="af9">
    <w:name w:val="Выделенная цитата Знак"/>
    <w:basedOn w:val="a1"/>
    <w:link w:val="af8"/>
    <w:uiPriority w:val="30"/>
    <w:rsid w:val="004E29BC"/>
    <w:rPr>
      <w:rFonts w:ascii="Calibri" w:eastAsia="Times New Roman" w:hAnsi="Calibri" w:cs="Times New Roman"/>
      <w:b/>
      <w:bCs/>
      <w:i/>
      <w:iCs/>
      <w:color w:val="4F81BD"/>
    </w:rPr>
  </w:style>
  <w:style w:type="paragraph" w:styleId="afa">
    <w:name w:val="endnote text"/>
    <w:basedOn w:val="a0"/>
    <w:link w:val="afb"/>
    <w:rsid w:val="004E29BC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rsid w:val="004E29BC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c">
    <w:name w:val="endnote reference"/>
    <w:rsid w:val="004E29BC"/>
    <w:rPr>
      <w:vertAlign w:val="superscript"/>
    </w:rPr>
  </w:style>
  <w:style w:type="table" w:customStyle="1" w:styleId="35">
    <w:name w:val="Сетка таблицы3"/>
    <w:basedOn w:val="a2"/>
    <w:uiPriority w:val="59"/>
    <w:rsid w:val="004E2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4E29BC"/>
  </w:style>
  <w:style w:type="numbering" w:customStyle="1" w:styleId="26">
    <w:name w:val="Нет списка2"/>
    <w:next w:val="a3"/>
    <w:uiPriority w:val="99"/>
    <w:semiHidden/>
    <w:unhideWhenUsed/>
    <w:rsid w:val="004E29BC"/>
  </w:style>
  <w:style w:type="paragraph" w:customStyle="1" w:styleId="27">
    <w:name w:val="Абзац списка2"/>
    <w:basedOn w:val="a0"/>
    <w:uiPriority w:val="34"/>
    <w:qFormat/>
    <w:rsid w:val="007C3743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CF5A4-DA88-4E5C-A02D-3704E6B5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61</Pages>
  <Words>16798</Words>
  <Characters>95751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Зайцева</dc:creator>
  <cp:lastModifiedBy>Марина Родькина</cp:lastModifiedBy>
  <cp:revision>136</cp:revision>
  <cp:lastPrinted>2021-11-14T08:30:00Z</cp:lastPrinted>
  <dcterms:created xsi:type="dcterms:W3CDTF">2017-11-20T10:14:00Z</dcterms:created>
  <dcterms:modified xsi:type="dcterms:W3CDTF">2021-11-14T12:15:00Z</dcterms:modified>
</cp:coreProperties>
</file>