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5C" w:rsidRDefault="00720D5C" w:rsidP="00720D5C">
      <w:pPr>
        <w:autoSpaceDE w:val="0"/>
        <w:autoSpaceDN w:val="0"/>
        <w:adjustRightInd w:val="0"/>
        <w:spacing w:before="108" w:after="108" w:line="240" w:lineRule="auto"/>
        <w:contextualSpacing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3C3064" w:rsidRPr="003C3064" w:rsidRDefault="003C3064" w:rsidP="003C3064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3C3064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</w:t>
      </w:r>
      <w:r w:rsidRPr="00720D5C">
        <w:rPr>
          <w:rFonts w:ascii="Times New Roman" w:hAnsi="Times New Roman" w:cs="Times New Roman"/>
          <w:b/>
          <w:bCs/>
          <w:color w:val="26282F"/>
          <w:sz w:val="24"/>
          <w:szCs w:val="24"/>
        </w:rPr>
        <w:t>ой программы</w:t>
      </w:r>
      <w:r w:rsidR="00771557" w:rsidRPr="00720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0D5C" w:rsidRPr="00720D5C"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 в городском округе Кинешма»</w:t>
      </w:r>
    </w:p>
    <w:p w:rsidR="003C3064" w:rsidRPr="003C3064" w:rsidRDefault="003C3064" w:rsidP="003C3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6442"/>
      </w:tblGrid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3C3064" w:rsidRDefault="007778D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C3064" w:rsidRPr="003C3064">
              <w:rPr>
                <w:rFonts w:ascii="Times New Roman" w:hAnsi="Times New Roman" w:cs="Times New Roman"/>
                <w:sz w:val="24"/>
                <w:szCs w:val="24"/>
              </w:rPr>
              <w:t>Развитие транспортной 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 в городском округе Кинешма»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="007778D4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3C3064">
                <w:rPr>
                  <w:rFonts w:ascii="Times New Roman" w:hAnsi="Times New Roman" w:cs="Times New Roman"/>
                  <w:sz w:val="24"/>
                  <w:szCs w:val="24"/>
                </w:rPr>
                <w:t>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  </w:r>
            </w:hyperlink>
            <w:r w:rsidR="007778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C3064" w:rsidRPr="003C3064" w:rsidRDefault="003C3064" w:rsidP="00777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="007778D4">
                <w:rPr>
                  <w:rFonts w:ascii="Times New Roman" w:hAnsi="Times New Roman" w:cs="Times New Roman"/>
                  <w:sz w:val="24"/>
                  <w:szCs w:val="24"/>
                </w:rPr>
                <w:t>«</w:t>
              </w:r>
              <w:r w:rsidRPr="003C3064">
                <w:rPr>
                  <w:rFonts w:ascii="Times New Roman" w:hAnsi="Times New Roman" w:cs="Times New Roman"/>
                  <w:sz w:val="24"/>
                  <w:szCs w:val="24"/>
                </w:rPr>
                <w:t>Ремонт автомобильных дорог общего пользования местного значения, внутриквартальных проездов и придомовых территорий городского округа Кинешма</w:t>
              </w:r>
            </w:hyperlink>
            <w:r w:rsidR="007778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городского хозяйства г. Кинешмы.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78D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го</w:t>
            </w:r>
            <w:r w:rsidR="007778D4">
              <w:rPr>
                <w:rFonts w:ascii="Times New Roman" w:hAnsi="Times New Roman" w:cs="Times New Roman"/>
                <w:sz w:val="24"/>
                <w:szCs w:val="24"/>
              </w:rPr>
              <w:t xml:space="preserve">родского хозяйства г. Кинешмы; </w:t>
            </w:r>
          </w:p>
          <w:p w:rsidR="003C3064" w:rsidRPr="003C3064" w:rsidRDefault="007778D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C3064" w:rsidRPr="003C3064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учрежд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городского округа Кинешма «</w:t>
            </w:r>
            <w:r w:rsidR="003C3064" w:rsidRPr="003C3064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одское управление строительства»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автомобильных дорог общего пользования местного значения внутриквартальных проездов, придомовых территорий </w:t>
            </w:r>
            <w:bookmarkStart w:id="0" w:name="_GoBack"/>
            <w:bookmarkEnd w:id="0"/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в нормативном состоянии.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1.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2. Общая протяженность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на 31 декабря отчетного года;</w:t>
            </w:r>
          </w:p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3. Протяженность сети автомобильных дорог общего пользования местного значения;</w:t>
            </w:r>
          </w:p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4. Объемы ввода в эксплуатацию после строительства и </w:t>
            </w:r>
            <w:proofErr w:type="gramStart"/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реконструкции</w:t>
            </w:r>
            <w:proofErr w:type="gramEnd"/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значения;</w:t>
            </w:r>
          </w:p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5. Прирост протяженности автомобильных дорог общего пользования местного значения на территории городского округа Кинешма, соответствующих нормативным требованиям к транспортно-эксплуатационным показателям, в результате капитального ремонта и </w:t>
            </w:r>
            <w:proofErr w:type="gramStart"/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ремонта</w:t>
            </w:r>
            <w:proofErr w:type="gramEnd"/>
            <w:r w:rsidRPr="003C306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дорог;</w:t>
            </w:r>
          </w:p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6. Прирост протяженности сети автомобильных дорог местного значения в результате строительства новых автомобильных дорог;</w:t>
            </w:r>
          </w:p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sz w:val="24"/>
                <w:szCs w:val="24"/>
              </w:rPr>
              <w:t>7.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дорог.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Объемы ресурсного </w:t>
            </w: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обеспечения программы</w:t>
            </w:r>
            <w:bookmarkEnd w:id="1"/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бюджетных ассигнований на реализацию 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программы: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2019 год - 126 302,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2020 год - 298 629,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106 443,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2022 год -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103 210,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1557" w:rsidRPr="00B07AE8" w:rsidRDefault="00771557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84 </w:t>
            </w:r>
            <w:r w:rsidR="00252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51,4 тыс. руб.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2019 год - 84 701,4 тыс. руб.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2020 год - 90 316,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89 468,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85 199,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1557" w:rsidRPr="00B07AE8" w:rsidRDefault="00771557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– 84 </w:t>
            </w:r>
            <w:r w:rsidR="002522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51,4 тыс. руб.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2019 год - 41 600,</w:t>
            </w:r>
            <w:r w:rsidR="00720D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720D5C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- 208 313</w:t>
            </w:r>
            <w:r w:rsidR="003C3064" w:rsidRPr="00B07A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C3064"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16 975,4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18 011,2</w:t>
            </w: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71557" w:rsidRPr="00B07AE8" w:rsidRDefault="00771557" w:rsidP="003C30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481C61" w:rsidRPr="00B07AE8">
              <w:rPr>
                <w:rFonts w:ascii="Times New Roman" w:hAnsi="Times New Roman" w:cs="Times New Roman"/>
                <w:sz w:val="24"/>
                <w:szCs w:val="24"/>
              </w:rPr>
              <w:t>– 0,00 тыс. руб.</w:t>
            </w:r>
          </w:p>
        </w:tc>
      </w:tr>
      <w:tr w:rsidR="003C3064" w:rsidRPr="003C3064" w:rsidTr="003C3064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064" w:rsidRPr="003C3064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муниципальной программы планируется обеспечить к 2022 году: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- уменьшение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на 3,928%;</w:t>
            </w:r>
          </w:p>
          <w:p w:rsidR="003C3064" w:rsidRPr="00B07AE8" w:rsidRDefault="003C3064" w:rsidP="003C30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AE8">
              <w:rPr>
                <w:rFonts w:ascii="Times New Roman" w:hAnsi="Times New Roman" w:cs="Times New Roman"/>
                <w:sz w:val="24"/>
                <w:szCs w:val="24"/>
              </w:rPr>
              <w:t>- увеличение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на 31 декабря отчетного года, на 10,0 км.</w:t>
            </w:r>
          </w:p>
        </w:tc>
      </w:tr>
    </w:tbl>
    <w:p w:rsidR="005B7D1E" w:rsidRDefault="005B7D1E"/>
    <w:sectPr w:rsidR="005B7D1E" w:rsidSect="0077155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999"/>
    <w:rsid w:val="000528F6"/>
    <w:rsid w:val="001A2999"/>
    <w:rsid w:val="0025229A"/>
    <w:rsid w:val="002A3802"/>
    <w:rsid w:val="003C3064"/>
    <w:rsid w:val="00421DD9"/>
    <w:rsid w:val="00481C61"/>
    <w:rsid w:val="005B7D1E"/>
    <w:rsid w:val="00720D5C"/>
    <w:rsid w:val="00771557"/>
    <w:rsid w:val="007778D4"/>
    <w:rsid w:val="008D5583"/>
    <w:rsid w:val="00B0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306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06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C306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C306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C306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C30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C306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06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C306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C306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C306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C30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9</cp:revision>
  <dcterms:created xsi:type="dcterms:W3CDTF">2020-11-03T06:28:00Z</dcterms:created>
  <dcterms:modified xsi:type="dcterms:W3CDTF">2020-11-13T11:10:00Z</dcterms:modified>
</cp:coreProperties>
</file>