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84D" w:rsidRDefault="00EB21E9" w:rsidP="00EB384D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EB384D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EB384D" w:rsidRPr="00EB384D" w:rsidRDefault="00EB384D" w:rsidP="00EB384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EB384D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"Совершенствование местного самоуправления городского округа Кинешма"</w:t>
      </w:r>
    </w:p>
    <w:p w:rsidR="00EB384D" w:rsidRPr="00EB384D" w:rsidRDefault="00EB384D" w:rsidP="00EB384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0"/>
        <w:gridCol w:w="6594"/>
      </w:tblGrid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"Совершенствование местного самоуправления городского округа Кинешма" (далее - муниципальная программа)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000" w:history="1">
              <w:r w:rsidRPr="00EB384D">
                <w:rPr>
                  <w:rFonts w:ascii="Times New Roman" w:hAnsi="Times New Roman" w:cs="Times New Roman"/>
                  <w:sz w:val="24"/>
                  <w:szCs w:val="24"/>
                </w:rPr>
                <w:t>"Обеспечение деятельности органов местного самоуправления городского округа Кинешма"</w:t>
              </w:r>
            </w:hyperlink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2000" w:history="1">
              <w:r w:rsidRPr="00EB384D">
                <w:rPr>
                  <w:rFonts w:ascii="Times New Roman" w:hAnsi="Times New Roman" w:cs="Times New Roman"/>
                  <w:sz w:val="24"/>
                  <w:szCs w:val="24"/>
                </w:rPr>
                <w:t>"Развитие институтов гражданского общества"</w:t>
              </w:r>
            </w:hyperlink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1. Администрация городского округа Кинешма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2. Муниципальное учреждение города Кинешмы "Управление капитального строительства".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3. Муниципальное учреждение городского округа Кинешма "Городское управление строительства"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4. Муниципальное учреждение "Редакция Радио-Кинешма"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 обеспечение открытости местного самоуправления городского округа Кинешма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7"/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  <w:bookmarkEnd w:id="0"/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1. Количество муниципальных служащих, получивших дополнительное профессиональное образование и прошедших профессиональную переподготовку.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2. Количество муниципальных служащих, прошедших аттестацию в соответствии с действующим законодательством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3. Проведение мероприятий антикоррупционной направленности (совещания, семинары)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4. Количество учреждений, получивших налоговую льготу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5. Количество проведенных заседаний комиссии по делам несовершеннолетних и защите их прав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6. Количество рассмотренных дел комиссией по делам несовершеннолетних и защите их прав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7. Доля соответствия актов выполненных работ строительным нормам и расценкам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8. Количество объектов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9. Время выхода в эфир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10. Доля граждан, удовлетворенных новостной лентой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11. Доля граждан, удовлетворенных подготовленными аналитическими программами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12. Количество работников администрации городского округа Кинешма, прошедших диспансеризацию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13. Количество рабочих мест работников администрации городского округа Кинешма, по которым проведена специальная оценка труда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14. Количество компьютеров, обеспеченных лицензионным программным обеспечением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15. Количество единиц вновь приобретаемых компьютеров и оргтехники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16. Количество социально ориентированных некоммерческих организаций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 xml:space="preserve">17. Количество территориальных общественных </w:t>
            </w:r>
            <w:r w:rsidRPr="00EB38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самоуправлений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2019 год - 51 947,3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2020 год - 56 010,0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EB21E9">
              <w:rPr>
                <w:rFonts w:ascii="Times New Roman" w:hAnsi="Times New Roman" w:cs="Times New Roman"/>
                <w:sz w:val="24"/>
                <w:szCs w:val="24"/>
              </w:rPr>
              <w:t> 212,5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53 423,8 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 53 423,8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2019 год - 50 438,4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2020 год - 54 453,2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1E9">
              <w:rPr>
                <w:rFonts w:ascii="Times New Roman" w:hAnsi="Times New Roman" w:cs="Times New Roman"/>
                <w:sz w:val="24"/>
                <w:szCs w:val="24"/>
              </w:rPr>
              <w:t>55 621,0</w:t>
            </w:r>
            <w:bookmarkStart w:id="2" w:name="_GoBack"/>
            <w:bookmarkEnd w:id="2"/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1 971,0 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 51 971,0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2019 год - 1 508,9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EB21E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1E9">
              <w:rPr>
                <w:rFonts w:ascii="Times New Roman" w:hAnsi="Times New Roman" w:cs="Times New Roman"/>
                <w:sz w:val="24"/>
                <w:szCs w:val="24"/>
              </w:rPr>
              <w:t>1 591,5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3D7464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2021 год - 1 591,5</w:t>
            </w:r>
            <w:r w:rsidR="00EB384D"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2022 год - 1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>452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EB384D" w:rsidRPr="003D7464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746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D7464" w:rsidRPr="003D7464">
              <w:rPr>
                <w:rFonts w:ascii="Times New Roman" w:hAnsi="Times New Roman" w:cs="Times New Roman"/>
                <w:sz w:val="24"/>
                <w:szCs w:val="24"/>
              </w:rPr>
              <w:t>– 1 452,8 тыс. руб.</w:t>
            </w:r>
          </w:p>
        </w:tc>
      </w:tr>
      <w:tr w:rsidR="00EB384D" w:rsidRPr="00EB384D"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достичь следующих результатов: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1. Обеспечение эффективного и ответственного исполнения муниципальных функций и оказание муниципальных услуг органами и структурными подразделениями администрации городского округа Кинешма.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2. Создание системы муниципального управления через становление муниципальной службы, формирование системы профессионального и личностного роста, совершенствование нормативной базы по вопросам муниципальной службы в администрации городского округа Кинешма.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3. Выполнение работ по строительству, реконструкции и ремонту объектов муниципальной собственности и обеспечение проектно-сметной документацией на 100 процентов.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4. Создание информационно-аналитических передач о событиях и процессах, происходящих в городском округе Кинешма с увеличением времени выхода в эфир до 5256000 секунд.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5. Воспитание у широкой аудитории самоуважения и интереса к главным событиям политической, социальной, культурной и экономической жизни городского округа Кинешма.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6. Создание разнообразных популярных у целевой аудитории программ, затрагивающих самые насущные и интересные стороны жизни.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7. В результате реализации программы планируется создать предпосылки для повышения уровня безопасности труда.</w:t>
            </w:r>
          </w:p>
          <w:p w:rsidR="00EB384D" w:rsidRPr="00EB384D" w:rsidRDefault="00EB384D" w:rsidP="00EB3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4D">
              <w:rPr>
                <w:rFonts w:ascii="Times New Roman" w:hAnsi="Times New Roman" w:cs="Times New Roman"/>
                <w:sz w:val="24"/>
                <w:szCs w:val="24"/>
              </w:rPr>
              <w:t>8. Создание благоприятных условий для развития и деятельности институтов гражданского общества городского округа Кинешма, в том числе социально ориентированных некоммерческих организаций, органов территориального общественного самоуправления.</w:t>
            </w:r>
          </w:p>
        </w:tc>
      </w:tr>
    </w:tbl>
    <w:p w:rsidR="003741BC" w:rsidRDefault="003741BC"/>
    <w:sectPr w:rsidR="003741BC" w:rsidSect="00EB384D">
      <w:pgSz w:w="11900" w:h="16800"/>
      <w:pgMar w:top="426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3CD"/>
    <w:rsid w:val="003741BC"/>
    <w:rsid w:val="003D7464"/>
    <w:rsid w:val="00E173CD"/>
    <w:rsid w:val="00EB21E9"/>
    <w:rsid w:val="00EB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84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84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B384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B384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B384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B38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84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84D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EB384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B384D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B384D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EB38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4</cp:revision>
  <dcterms:created xsi:type="dcterms:W3CDTF">2020-11-03T07:15:00Z</dcterms:created>
  <dcterms:modified xsi:type="dcterms:W3CDTF">2020-11-13T10:28:00Z</dcterms:modified>
</cp:coreProperties>
</file>