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4A0"/>
      </w:tblPr>
      <w:tblGrid>
        <w:gridCol w:w="2694"/>
        <w:gridCol w:w="786"/>
        <w:gridCol w:w="632"/>
        <w:gridCol w:w="1275"/>
        <w:gridCol w:w="709"/>
        <w:gridCol w:w="1276"/>
        <w:gridCol w:w="1417"/>
        <w:gridCol w:w="1276"/>
      </w:tblGrid>
      <w:tr w:rsidR="00430E33" w:rsidRPr="00430E33" w:rsidTr="00A2323E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0E33" w:rsidRPr="00430E33" w:rsidRDefault="00430E33" w:rsidP="00215810">
            <w:pPr>
              <w:rPr>
                <w:rFonts w:ascii="Times New Roman" w:hAnsi="Times New Roman"/>
              </w:rPr>
            </w:pPr>
          </w:p>
        </w:tc>
      </w:tr>
      <w:tr w:rsidR="00430E33" w:rsidRPr="00430E33" w:rsidTr="00430E33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E33" w:rsidRDefault="00430E33" w:rsidP="00430E33">
            <w:pPr>
              <w:jc w:val="right"/>
              <w:rPr>
                <w:rFonts w:ascii="Times New Roman" w:hAnsi="Times New Roman"/>
              </w:rPr>
            </w:pPr>
            <w:r w:rsidRPr="00430E33">
              <w:rPr>
                <w:rFonts w:ascii="Times New Roman" w:hAnsi="Times New Roman"/>
              </w:rPr>
              <w:t>Приложение 4</w:t>
            </w:r>
            <w:r w:rsidRPr="00430E33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430E33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430E33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B93E6A" w:rsidRPr="00430E33" w:rsidRDefault="00B93E6A" w:rsidP="00430E33">
            <w:pPr>
              <w:jc w:val="right"/>
              <w:rPr>
                <w:rFonts w:ascii="Times New Roman" w:hAnsi="Times New Roman"/>
              </w:rPr>
            </w:pPr>
          </w:p>
        </w:tc>
      </w:tr>
      <w:tr w:rsidR="00430E33" w:rsidRPr="00430E33" w:rsidTr="00430E33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E33" w:rsidRDefault="00430E33" w:rsidP="00430E3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430E33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430E33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  <w:p w:rsidR="00B93E6A" w:rsidRPr="00430E33" w:rsidRDefault="00B93E6A" w:rsidP="00430E3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30E33" w:rsidRPr="00430E33" w:rsidTr="00430E33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30E33" w:rsidRPr="00430E33" w:rsidTr="00430E33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(тыс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ублей)</w:t>
            </w:r>
          </w:p>
        </w:tc>
      </w:tr>
      <w:tr w:rsidR="00430E33" w:rsidRPr="00430E33" w:rsidTr="00430E33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430E33" w:rsidRPr="00430E33" w:rsidTr="00430E33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876 876,88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789 777,39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778 504,65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387 750,08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387 750,08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387 750,08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101 362,87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86 624,28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86 624,28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9 783,27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9 783,27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16 521,36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16 521,36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33 734,89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33 734,89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26 266,76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26 266,76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24 276,83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методический центр"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5 792,04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73 149,02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40 096,21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6 035,91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5 229,27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5 229,27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22 618,04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4 165,44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4 165,44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11 442,26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2 955,67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2 955,67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13 401,60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155 869,73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126 101,71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27 935,11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24 719,58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24 719,58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14 112,60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14 112,60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3 215,53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2 538,37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2 538,37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93 753,02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84 433,69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134 368,53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119 151,91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1 828,48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1 828,48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1 828,48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"Создание объектов спортивной инфраструктуры в г.о.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Устройство спортивной площадки физкультурно-оздоровительный комплекс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открытого типа по ул. Гагарина в г.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13 704,14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102 137,34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102 137,34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Оснащение объектов спортивной инфраструктуры спортивно-технологическим оборудованием (Создание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12 092,66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12 092,66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12 092,66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10 859,51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10 859,51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3 123,97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12 700,63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1 753,95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 xml:space="preserve">Проведение ремонта жилых помещений и (или) замену (приобретение)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9 595,69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9 495,69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9 495,69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76 367,43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185 378,57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Замена и установка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поддержки молодым семьям"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430E3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17 353,05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17 353,05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17 353,05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17 308,05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15 668,56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системы видеонаблюдения и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Муниципальная программа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3 579,16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34 161,85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25 744,86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18 233,57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18 233,57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14 852,03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14 852,03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по благоустройству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7 511,30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Приобретение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автотранспортных средств и коммунальной техники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0E3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</w:t>
            </w:r>
            <w:proofErr w:type="spellStart"/>
            <w:r w:rsidRPr="00430E33">
              <w:rPr>
                <w:rFonts w:ascii="Times New Roman" w:hAnsi="Times New Roman"/>
                <w:color w:val="000000"/>
              </w:rPr>
              <w:t>правонарушенийжины</w:t>
            </w:r>
            <w:proofErr w:type="spell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Сельское хозяйство и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рыболовство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34 853,83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56 068,04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52 405,94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55 518,04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52 005,94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39 687,37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Содержание имущества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г.о. Кинешма)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охраны окружающей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146 422,29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146 422,29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142 926,29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142 926,29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10 029,97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10 029,97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Реализация проектов благоустройства территорий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Контрольно-счетной комиссии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Контрольно-счетной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8 000,31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6 630,27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707,65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439,46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Осуществление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7 136,84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7 136,84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7 136,84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по прочим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6 354,14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6 354,14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6 354,14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1 114,19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430E33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430E33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394,73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252,63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строительство, </w:t>
            </w:r>
            <w:r w:rsidRPr="00430E33">
              <w:rPr>
                <w:rFonts w:ascii="Times New Roman" w:hAnsi="Times New Roman"/>
                <w:color w:val="000000"/>
              </w:rPr>
              <w:lastRenderedPageBreak/>
              <w:t>реконструкцию и капитальный ремонт объектов социальной и инженерной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color w:val="000000"/>
              </w:rPr>
            </w:pPr>
            <w:r w:rsidRPr="00430E3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430E33" w:rsidRPr="00430E33" w:rsidTr="00430E33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1 806 011,77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1 227 099,66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0E33" w:rsidRPr="00430E33" w:rsidRDefault="00430E33" w:rsidP="00430E3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30E33">
              <w:rPr>
                <w:rFonts w:ascii="Times New Roman" w:hAnsi="Times New Roman"/>
                <w:b/>
                <w:bCs/>
                <w:color w:val="000000"/>
              </w:rPr>
              <w:t>1 281 296,26</w:t>
            </w:r>
          </w:p>
        </w:tc>
      </w:tr>
    </w:tbl>
    <w:p w:rsidR="009959C6" w:rsidRDefault="009959C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0E33" w:rsidRDefault="00430E3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30E33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215810">
            <w:rPr>
              <w:noProof/>
            </w:rPr>
            <w:t>56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15810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595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84C2C-D71A-4DBF-A761-2ED7B41D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14918</Words>
  <Characters>85033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2020-07-03T07:16:00Z</dcterms:created>
  <dcterms:modified xsi:type="dcterms:W3CDTF">2020-07-03T07:16:00Z</dcterms:modified>
</cp:coreProperties>
</file>