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103" w:rsidRDefault="00120103" w:rsidP="00120103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 изменений</w:t>
      </w:r>
    </w:p>
    <w:p w:rsidR="00120103" w:rsidRDefault="00120103" w:rsidP="00FE5E6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FE5E66" w:rsidRPr="00FE5E66" w:rsidRDefault="00FE5E66" w:rsidP="00FE5E6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FE5E66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 муниципальной программы городского округа Кинешма "Управление муниципальными финансами и муниципальным долгом"</w:t>
      </w:r>
    </w:p>
    <w:p w:rsidR="00FE5E66" w:rsidRPr="00FE5E66" w:rsidRDefault="00FE5E66" w:rsidP="00FE5E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8080"/>
      </w:tblGrid>
      <w:tr w:rsidR="00FE5E66" w:rsidRPr="00FE5E66" w:rsidTr="00120103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муниципальными финансами и муниципальным долгом </w:t>
            </w:r>
          </w:p>
        </w:tc>
      </w:tr>
      <w:tr w:rsidR="00FE5E66" w:rsidRPr="00FE5E66" w:rsidTr="00120103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E66" w:rsidRPr="00FE5E66" w:rsidRDefault="00FE5E66" w:rsidP="002442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442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E5E66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2442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E5E6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FE5E66" w:rsidRPr="00FE5E66" w:rsidTr="00120103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sz w:val="24"/>
                <w:szCs w:val="24"/>
              </w:rPr>
              <w:t>1. "Обеспечение деятельности муниципальных организаций и отраслевых (функциональных) органов администрации городского округа Кинешма".</w:t>
            </w:r>
          </w:p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sz w:val="24"/>
                <w:szCs w:val="24"/>
              </w:rPr>
              <w:t>2. "Повышение качества управления муниципальными финансами".</w:t>
            </w:r>
          </w:p>
        </w:tc>
      </w:tr>
      <w:tr w:rsidR="00FE5E66" w:rsidRPr="00FE5E66" w:rsidTr="00120103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городского округа Кинешма</w:t>
            </w:r>
          </w:p>
        </w:tc>
      </w:tr>
      <w:tr w:rsidR="00FE5E66" w:rsidRPr="00FE5E66" w:rsidTr="00120103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городского округа Кинешма, Администрация городского округа Кинешма, МУ "Многофункциональный центр предоставления государственных и муниципальных услуг городского округа Кинешма"</w:t>
            </w:r>
          </w:p>
        </w:tc>
      </w:tr>
      <w:tr w:rsidR="00FE5E66" w:rsidRPr="00FE5E66" w:rsidTr="00120103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sz w:val="24"/>
                <w:szCs w:val="24"/>
              </w:rPr>
              <w:t>1. Повышение качества управления муниципальными финансами;</w:t>
            </w:r>
          </w:p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sz w:val="24"/>
                <w:szCs w:val="24"/>
              </w:rPr>
              <w:t>2. Поддержание объема муниципального долга на экономически безопасном уровне;</w:t>
            </w:r>
          </w:p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sz w:val="24"/>
                <w:szCs w:val="24"/>
              </w:rPr>
              <w:t>3. Организация предоставления государственных и муниципальных услуг по принципу "одного окна" через работу МУ "Многофункциональный центр предоставления государственных и муниципальных услуг городского округа Кинешма".</w:t>
            </w:r>
          </w:p>
        </w:tc>
      </w:tr>
      <w:tr w:rsidR="00FE5E66" w:rsidRPr="00FE5E66" w:rsidTr="00120103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sz w:val="24"/>
                <w:szCs w:val="24"/>
              </w:rPr>
              <w:t>1. Доля налоговых и неналоговых доходов в общем объеме доходов бюджета городского округа Кинешма.</w:t>
            </w:r>
          </w:p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sz w:val="24"/>
                <w:szCs w:val="24"/>
              </w:rPr>
              <w:t>2. Доля расходов на обслуживание муниципального долга в общем объеме расходов бюджета городского округа Кинешма.</w:t>
            </w:r>
          </w:p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sz w:val="24"/>
                <w:szCs w:val="24"/>
              </w:rPr>
              <w:t>3. Отношение дефицита бюджета городского округа Кинешма к доходам бюджета городского округа без учета объема безвозмездных поступлений (с учетом положений, установленных статьей 92.1 Бюджетного кодекса Российской Федерации).</w:t>
            </w:r>
          </w:p>
        </w:tc>
      </w:tr>
      <w:tr w:rsidR="00FE5E66" w:rsidRPr="00FE5E66" w:rsidTr="00120103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bookmarkStart w:id="0" w:name="sub_108"/>
            <w:r w:rsidRPr="00FE5E6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Объемы ресурсного обеспечения программы</w:t>
            </w:r>
            <w:bookmarkEnd w:id="0"/>
          </w:p>
          <w:p w:rsidR="007B1FC9" w:rsidRPr="00FE5E66" w:rsidRDefault="007B1FC9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E66" w:rsidRPr="007B1FC9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FC9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FE5E66" w:rsidRPr="007B1FC9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06BF" w:rsidRPr="007B1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38B7" w:rsidRPr="007B1FC9">
              <w:rPr>
                <w:rFonts w:ascii="Times New Roman" w:hAnsi="Times New Roman" w:cs="Times New Roman"/>
                <w:sz w:val="24"/>
                <w:szCs w:val="24"/>
              </w:rPr>
              <w:t>1 159,8</w:t>
            </w:r>
            <w:r w:rsidRPr="007B1FC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бюджета городского округа Кинешма:</w:t>
            </w:r>
          </w:p>
          <w:p w:rsidR="00FE5E66" w:rsidRPr="007B1FC9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FC9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D506BF" w:rsidRPr="007B1FC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B1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6BF" w:rsidRPr="007B1F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38B7" w:rsidRPr="007B1FC9">
              <w:rPr>
                <w:rFonts w:ascii="Times New Roman" w:hAnsi="Times New Roman" w:cs="Times New Roman"/>
                <w:sz w:val="24"/>
                <w:szCs w:val="24"/>
              </w:rPr>
              <w:t>5 528,8</w:t>
            </w:r>
            <w:r w:rsidRPr="007B1FC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E5E66" w:rsidRPr="007B1FC9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FC9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D506BF" w:rsidRPr="007B1FC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B1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6BF" w:rsidRPr="007B1FC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D38B7" w:rsidRPr="007B1F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506BF" w:rsidRPr="007B1F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38B7" w:rsidRPr="007B1FC9">
              <w:rPr>
                <w:rFonts w:ascii="Times New Roman" w:hAnsi="Times New Roman" w:cs="Times New Roman"/>
                <w:sz w:val="24"/>
                <w:szCs w:val="24"/>
              </w:rPr>
              <w:t>00,5</w:t>
            </w:r>
            <w:r w:rsidRPr="007B1FC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E5E66" w:rsidRPr="007B1FC9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FC9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D506BF" w:rsidRPr="007B1FC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B1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6BF" w:rsidRPr="007B1FC9">
              <w:rPr>
                <w:rFonts w:ascii="Times New Roman" w:hAnsi="Times New Roman" w:cs="Times New Roman"/>
                <w:sz w:val="24"/>
                <w:szCs w:val="24"/>
              </w:rPr>
              <w:t>29 0</w:t>
            </w:r>
            <w:r w:rsidR="008D38B7" w:rsidRPr="007B1FC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506BF" w:rsidRPr="007B1FC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7B1FC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E5E66" w:rsidRPr="007B1FC9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FC9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D506BF" w:rsidRPr="007B1FC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B1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6BF" w:rsidRPr="007B1FC9">
              <w:rPr>
                <w:rFonts w:ascii="Times New Roman" w:hAnsi="Times New Roman" w:cs="Times New Roman"/>
                <w:sz w:val="24"/>
                <w:szCs w:val="24"/>
              </w:rPr>
              <w:t>20 010,0</w:t>
            </w:r>
            <w:r w:rsidRPr="007B1FC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E5E66" w:rsidRPr="007B1FC9" w:rsidRDefault="002442CD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FC9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506BF" w:rsidRPr="007B1FC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B1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6BF" w:rsidRPr="007B1FC9">
              <w:rPr>
                <w:rFonts w:ascii="Times New Roman" w:hAnsi="Times New Roman" w:cs="Times New Roman"/>
                <w:sz w:val="24"/>
                <w:szCs w:val="24"/>
              </w:rPr>
              <w:t>19 210,0</w:t>
            </w:r>
            <w:r w:rsidRPr="007B1FC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442CD" w:rsidRPr="007B1FC9" w:rsidRDefault="002442CD" w:rsidP="00D50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FC9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D506BF" w:rsidRPr="007B1FC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B1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6BF" w:rsidRPr="007B1FC9">
              <w:rPr>
                <w:rFonts w:ascii="Times New Roman" w:hAnsi="Times New Roman" w:cs="Times New Roman"/>
                <w:sz w:val="24"/>
                <w:szCs w:val="24"/>
              </w:rPr>
              <w:t>18 410,0</w:t>
            </w:r>
            <w:r w:rsidRPr="007B1FC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  <w:bookmarkStart w:id="1" w:name="_GoBack"/>
            <w:bookmarkEnd w:id="1"/>
          </w:p>
        </w:tc>
      </w:tr>
      <w:tr w:rsidR="00FE5E66" w:rsidRPr="00FE5E66" w:rsidTr="00120103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в период до 2024 года позволит достичь следующих результатов:</w:t>
            </w:r>
          </w:p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sz w:val="24"/>
                <w:szCs w:val="24"/>
              </w:rPr>
              <w:t>- укрепление доходной базы (без учета безвозмездных поступлений) бюджета городского округа Кинешма;</w:t>
            </w:r>
          </w:p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sz w:val="24"/>
                <w:szCs w:val="24"/>
              </w:rPr>
              <w:t>- своевременное и полное исполнение обязательств бюджета городского округа Кинешма, отсутствие объема просроченной кредиторской задолженности;</w:t>
            </w:r>
          </w:p>
          <w:p w:rsidR="00FE5E66" w:rsidRPr="00FE5E66" w:rsidRDefault="00FE5E66" w:rsidP="00FE5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66">
              <w:rPr>
                <w:rFonts w:ascii="Times New Roman" w:hAnsi="Times New Roman" w:cs="Times New Roman"/>
                <w:sz w:val="24"/>
                <w:szCs w:val="24"/>
              </w:rPr>
              <w:t>- удержание расходов на обслуживание муниципального долга на уровне не более 15% расходов бюджета городского округа Кинешма (за исключением субвенций, предоставляемых из бюджетов бюджетной системы).</w:t>
            </w:r>
          </w:p>
        </w:tc>
      </w:tr>
    </w:tbl>
    <w:p w:rsidR="007C6401" w:rsidRDefault="007C6401"/>
    <w:sectPr w:rsidR="007C6401" w:rsidSect="00120103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C30"/>
    <w:rsid w:val="00120103"/>
    <w:rsid w:val="002442CD"/>
    <w:rsid w:val="00591380"/>
    <w:rsid w:val="007B1FC9"/>
    <w:rsid w:val="007C6401"/>
    <w:rsid w:val="008D38B7"/>
    <w:rsid w:val="00D506BF"/>
    <w:rsid w:val="00D85B5D"/>
    <w:rsid w:val="00E65C30"/>
    <w:rsid w:val="00FE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E5E6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5E66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FE5E66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FE5E66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E5E66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E5E6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5E66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FE5E66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FE5E66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E5E66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8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Марина Родькина</cp:lastModifiedBy>
  <cp:revision>8</cp:revision>
  <cp:lastPrinted>2019-11-08T08:45:00Z</cp:lastPrinted>
  <dcterms:created xsi:type="dcterms:W3CDTF">2019-10-25T08:47:00Z</dcterms:created>
  <dcterms:modified xsi:type="dcterms:W3CDTF">2019-11-08T08:45:00Z</dcterms:modified>
</cp:coreProperties>
</file>