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89" w:rsidRPr="006E39D8" w:rsidRDefault="00107389" w:rsidP="00107389">
      <w:pPr>
        <w:jc w:val="center"/>
      </w:pPr>
      <w:r>
        <w:rPr>
          <w:noProof/>
        </w:rPr>
        <w:drawing>
          <wp:inline distT="0" distB="0" distL="0" distR="0" wp14:anchorId="50E0A427" wp14:editId="55065A9C">
            <wp:extent cx="654050" cy="831850"/>
            <wp:effectExtent l="0" t="0" r="0" b="635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89" w:rsidRPr="006E39D8" w:rsidRDefault="00107389" w:rsidP="00107389">
      <w:pPr>
        <w:jc w:val="center"/>
        <w:rPr>
          <w:spacing w:val="60"/>
        </w:rPr>
      </w:pPr>
      <w:r w:rsidRPr="006E39D8">
        <w:rPr>
          <w:b/>
          <w:bCs/>
          <w:spacing w:val="60"/>
          <w:position w:val="3"/>
          <w:sz w:val="66"/>
          <w:szCs w:val="66"/>
        </w:rPr>
        <w:t>ПОСТАНОВЛЕНИЕ</w:t>
      </w:r>
    </w:p>
    <w:p w:rsidR="00107389" w:rsidRPr="006E39D8" w:rsidRDefault="00107389" w:rsidP="00107389">
      <w:pPr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40"/>
          <w:szCs w:val="40"/>
        </w:rPr>
      </w:pPr>
      <w:r w:rsidRPr="006E39D8">
        <w:rPr>
          <w:b/>
          <w:bCs/>
          <w:spacing w:val="56"/>
          <w:sz w:val="40"/>
          <w:szCs w:val="40"/>
        </w:rPr>
        <w:t>администрации</w:t>
      </w:r>
    </w:p>
    <w:p w:rsidR="00107389" w:rsidRPr="006E39D8" w:rsidRDefault="00107389" w:rsidP="00107389">
      <w:pPr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40"/>
          <w:szCs w:val="40"/>
        </w:rPr>
      </w:pPr>
      <w:r w:rsidRPr="006E39D8">
        <w:rPr>
          <w:b/>
          <w:bCs/>
          <w:spacing w:val="56"/>
          <w:sz w:val="40"/>
          <w:szCs w:val="40"/>
        </w:rPr>
        <w:t>городского округа Кинешма</w:t>
      </w:r>
    </w:p>
    <w:p w:rsidR="00107389" w:rsidRPr="006E39D8" w:rsidRDefault="00107389" w:rsidP="00107389">
      <w:pPr>
        <w:jc w:val="center"/>
      </w:pPr>
    </w:p>
    <w:p w:rsidR="00107389" w:rsidRPr="00EF0C2F" w:rsidRDefault="00107389" w:rsidP="00107389">
      <w:pPr>
        <w:jc w:val="center"/>
        <w:rPr>
          <w:u w:val="single"/>
        </w:rPr>
      </w:pPr>
      <w:r>
        <w:t xml:space="preserve">от </w:t>
      </w:r>
      <w:r w:rsidR="0050038D">
        <w:t>25.10.2023</w:t>
      </w:r>
      <w:r>
        <w:t xml:space="preserve"> № </w:t>
      </w:r>
      <w:r w:rsidR="0050038D">
        <w:t>1797-п</w:t>
      </w:r>
    </w:p>
    <w:p w:rsidR="009B7AAC" w:rsidRDefault="009B7AAC" w:rsidP="00107389">
      <w:pPr>
        <w:jc w:val="center"/>
        <w:rPr>
          <w:b/>
        </w:rPr>
      </w:pPr>
    </w:p>
    <w:p w:rsidR="00440FBA" w:rsidRDefault="00107389" w:rsidP="00107389">
      <w:pPr>
        <w:jc w:val="center"/>
        <w:rPr>
          <w:b/>
        </w:rPr>
      </w:pPr>
      <w:r w:rsidRPr="008321F8">
        <w:rPr>
          <w:b/>
        </w:rPr>
        <w:t xml:space="preserve">Об основных направлениях </w:t>
      </w:r>
    </w:p>
    <w:p w:rsidR="00440FBA" w:rsidRDefault="00107389" w:rsidP="00107389">
      <w:pPr>
        <w:jc w:val="center"/>
        <w:rPr>
          <w:b/>
        </w:rPr>
      </w:pPr>
      <w:r w:rsidRPr="008321F8">
        <w:rPr>
          <w:b/>
        </w:rPr>
        <w:t xml:space="preserve">бюджетной </w:t>
      </w:r>
      <w:r>
        <w:rPr>
          <w:b/>
        </w:rPr>
        <w:t>и</w:t>
      </w:r>
      <w:r w:rsidR="00C62B6D">
        <w:rPr>
          <w:b/>
        </w:rPr>
        <w:t xml:space="preserve"> </w:t>
      </w:r>
      <w:r>
        <w:rPr>
          <w:b/>
        </w:rPr>
        <w:t xml:space="preserve"> </w:t>
      </w:r>
      <w:r w:rsidRPr="008321F8">
        <w:rPr>
          <w:b/>
        </w:rPr>
        <w:t xml:space="preserve">налоговой политики городского округа Кинешма </w:t>
      </w:r>
      <w:r>
        <w:rPr>
          <w:b/>
        </w:rPr>
        <w:t xml:space="preserve"> </w:t>
      </w:r>
    </w:p>
    <w:p w:rsidR="00107389" w:rsidRPr="006E39D8" w:rsidRDefault="00107389" w:rsidP="00107389">
      <w:pPr>
        <w:jc w:val="center"/>
        <w:rPr>
          <w:b/>
        </w:rPr>
      </w:pPr>
      <w:r w:rsidRPr="008321F8">
        <w:rPr>
          <w:b/>
        </w:rPr>
        <w:t>на 20</w:t>
      </w:r>
      <w:r>
        <w:rPr>
          <w:b/>
        </w:rPr>
        <w:t>2</w:t>
      </w:r>
      <w:r w:rsidR="009B7AAC">
        <w:rPr>
          <w:b/>
        </w:rPr>
        <w:t>4</w:t>
      </w:r>
      <w:r w:rsidRPr="008321F8">
        <w:rPr>
          <w:b/>
        </w:rPr>
        <w:t xml:space="preserve"> год и плановый период 202</w:t>
      </w:r>
      <w:r w:rsidR="009B7AAC">
        <w:rPr>
          <w:b/>
        </w:rPr>
        <w:t>5</w:t>
      </w:r>
      <w:r w:rsidRPr="008321F8">
        <w:rPr>
          <w:b/>
        </w:rPr>
        <w:t xml:space="preserve"> и 202</w:t>
      </w:r>
      <w:r w:rsidR="009B7AAC">
        <w:rPr>
          <w:b/>
        </w:rPr>
        <w:t>6</w:t>
      </w:r>
      <w:r w:rsidRPr="008321F8">
        <w:rPr>
          <w:b/>
        </w:rPr>
        <w:t xml:space="preserve"> годов</w:t>
      </w:r>
    </w:p>
    <w:p w:rsidR="00107389" w:rsidRPr="006E39D8" w:rsidRDefault="00107389" w:rsidP="0010738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E39D8">
        <w:rPr>
          <w:rFonts w:ascii="Times New Roman" w:hAnsi="Times New Roman" w:cs="Times New Roman"/>
          <w:sz w:val="28"/>
          <w:szCs w:val="28"/>
        </w:rPr>
        <w:tab/>
      </w:r>
    </w:p>
    <w:p w:rsidR="00107389" w:rsidRPr="004B0EA8" w:rsidRDefault="004B0EA8" w:rsidP="004B0EA8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4B0EA8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</w:t>
      </w:r>
      <w:r w:rsidR="00107389" w:rsidRPr="004B0EA8">
        <w:rPr>
          <w:rFonts w:ascii="Times New Roman" w:hAnsi="Times New Roman" w:cs="Times New Roman"/>
          <w:b w:val="0"/>
          <w:sz w:val="28"/>
          <w:szCs w:val="28"/>
        </w:rPr>
        <w:t xml:space="preserve">Бюджетным кодексом Российской Федерации, </w:t>
      </w:r>
      <w:r w:rsidR="00C5236C" w:rsidRPr="004B0EA8">
        <w:rPr>
          <w:rFonts w:ascii="Times New Roman" w:hAnsi="Times New Roman" w:cs="Times New Roman"/>
          <w:b w:val="0"/>
          <w:sz w:val="28"/>
          <w:szCs w:val="28"/>
        </w:rPr>
        <w:t>статьями 41, 46, 56 Устава муниципального образования «Городской округ Кинешма»</w:t>
      </w:r>
      <w:r w:rsidR="00C523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07389" w:rsidRPr="004B0EA8">
        <w:rPr>
          <w:rFonts w:ascii="Times New Roman" w:hAnsi="Times New Roman" w:cs="Times New Roman"/>
          <w:b w:val="0"/>
          <w:sz w:val="28"/>
          <w:szCs w:val="28"/>
        </w:rPr>
        <w:t xml:space="preserve">решением Кинешемской городской Думы от 21.07.2010 № 8/63 «О бюджетном процессе в городском округе Кинешма», </w:t>
      </w:r>
      <w:r w:rsidRPr="003A466D"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 w:rsidRPr="004B0E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4B0EA8">
        <w:rPr>
          <w:rFonts w:ascii="Times New Roman" w:hAnsi="Times New Roman" w:cs="Times New Roman"/>
          <w:b w:val="0"/>
          <w:sz w:val="28"/>
          <w:szCs w:val="28"/>
        </w:rPr>
        <w:t>дминистрации городского округа Кинешма от 29</w:t>
      </w:r>
      <w:r>
        <w:rPr>
          <w:rFonts w:ascii="Times New Roman" w:hAnsi="Times New Roman" w:cs="Times New Roman"/>
          <w:b w:val="0"/>
          <w:sz w:val="28"/>
          <w:szCs w:val="28"/>
        </w:rPr>
        <w:t>.07.</w:t>
      </w:r>
      <w:r w:rsidRPr="004B0EA8">
        <w:rPr>
          <w:rFonts w:ascii="Times New Roman" w:hAnsi="Times New Roman" w:cs="Times New Roman"/>
          <w:b w:val="0"/>
          <w:sz w:val="28"/>
          <w:szCs w:val="28"/>
        </w:rPr>
        <w:t>2019 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4B0EA8">
        <w:rPr>
          <w:rFonts w:ascii="Times New Roman" w:hAnsi="Times New Roman" w:cs="Times New Roman"/>
          <w:b w:val="0"/>
          <w:sz w:val="28"/>
          <w:szCs w:val="28"/>
        </w:rPr>
        <w:t> 956-п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4B0EA8">
        <w:rPr>
          <w:rFonts w:ascii="Times New Roman" w:hAnsi="Times New Roman" w:cs="Times New Roman"/>
          <w:b w:val="0"/>
          <w:sz w:val="28"/>
          <w:szCs w:val="28"/>
        </w:rPr>
        <w:t>О порядке составления проекта бюджета городского округа Кинешма на очередной финансовый год и плановый период, подготовки изменений в решение о бюджете городского округа Кинешма на текущий финансовый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>»,</w:t>
      </w:r>
      <w:r w:rsidR="00C5236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городского округа Кинешма</w:t>
      </w:r>
      <w:r w:rsidR="003D3DB4" w:rsidRPr="004B0E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07389" w:rsidRPr="006E39D8" w:rsidRDefault="00107389" w:rsidP="0010738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9D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07389" w:rsidRPr="006E39D8" w:rsidRDefault="00107389" w:rsidP="0010738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107389" w:rsidRPr="006A16A5" w:rsidRDefault="00107389" w:rsidP="00107389">
      <w:pPr>
        <w:pStyle w:val="a3"/>
        <w:tabs>
          <w:tab w:val="left" w:pos="0"/>
        </w:tabs>
        <w:rPr>
          <w:sz w:val="28"/>
          <w:szCs w:val="28"/>
        </w:rPr>
      </w:pPr>
      <w:r w:rsidRPr="006E39D8">
        <w:rPr>
          <w:sz w:val="28"/>
          <w:szCs w:val="28"/>
        </w:rPr>
        <w:tab/>
        <w:t>1</w:t>
      </w:r>
      <w:r w:rsidRPr="006A16A5">
        <w:rPr>
          <w:sz w:val="28"/>
          <w:szCs w:val="28"/>
        </w:rPr>
        <w:t>. Утвердить основные направления бюджетной и налоговой  политики городского округа Кинешма на 202</w:t>
      </w:r>
      <w:r w:rsidR="009B7AAC" w:rsidRPr="006A16A5">
        <w:rPr>
          <w:sz w:val="28"/>
          <w:szCs w:val="28"/>
        </w:rPr>
        <w:t>4</w:t>
      </w:r>
      <w:r w:rsidRPr="006A16A5">
        <w:rPr>
          <w:sz w:val="28"/>
          <w:szCs w:val="28"/>
        </w:rPr>
        <w:t xml:space="preserve"> год и плановый период 202</w:t>
      </w:r>
      <w:r w:rsidR="009B7AAC" w:rsidRPr="006A16A5">
        <w:rPr>
          <w:sz w:val="28"/>
          <w:szCs w:val="28"/>
        </w:rPr>
        <w:t>5</w:t>
      </w:r>
      <w:r w:rsidRPr="006A16A5">
        <w:rPr>
          <w:sz w:val="28"/>
          <w:szCs w:val="28"/>
        </w:rPr>
        <w:t xml:space="preserve"> и 202</w:t>
      </w:r>
      <w:r w:rsidR="009B7AAC" w:rsidRPr="006A16A5">
        <w:rPr>
          <w:sz w:val="28"/>
          <w:szCs w:val="28"/>
        </w:rPr>
        <w:t>6</w:t>
      </w:r>
      <w:r w:rsidRPr="006A16A5">
        <w:rPr>
          <w:sz w:val="28"/>
          <w:szCs w:val="28"/>
        </w:rPr>
        <w:t xml:space="preserve"> годов (приложение).</w:t>
      </w:r>
    </w:p>
    <w:p w:rsidR="006A16A5" w:rsidRPr="006A16A5" w:rsidRDefault="006A16A5" w:rsidP="00107389">
      <w:pPr>
        <w:pStyle w:val="a3"/>
        <w:tabs>
          <w:tab w:val="left" w:pos="0"/>
        </w:tabs>
        <w:rPr>
          <w:sz w:val="28"/>
          <w:szCs w:val="28"/>
        </w:rPr>
      </w:pPr>
      <w:r w:rsidRPr="006A16A5">
        <w:rPr>
          <w:sz w:val="28"/>
          <w:szCs w:val="28"/>
        </w:rPr>
        <w:tab/>
      </w:r>
      <w:r w:rsidRPr="00C72B77">
        <w:rPr>
          <w:sz w:val="28"/>
          <w:szCs w:val="28"/>
        </w:rPr>
        <w:t xml:space="preserve">2. </w:t>
      </w:r>
      <w:r w:rsidR="00A016D4" w:rsidRPr="00C72B77">
        <w:rPr>
          <w:sz w:val="28"/>
          <w:szCs w:val="28"/>
        </w:rPr>
        <w:t xml:space="preserve">Финансовому управлению администрации городского округа Кинешма и </w:t>
      </w:r>
      <w:r w:rsidRPr="00C72B77">
        <w:rPr>
          <w:sz w:val="28"/>
          <w:szCs w:val="28"/>
        </w:rPr>
        <w:t>Главным администраторам бюджетных средств городского округа Кинешма</w:t>
      </w:r>
      <w:r w:rsidR="00A016D4">
        <w:rPr>
          <w:sz w:val="28"/>
          <w:szCs w:val="28"/>
        </w:rPr>
        <w:t xml:space="preserve"> обеспечить соблюдение и </w:t>
      </w:r>
      <w:bookmarkStart w:id="0" w:name="_GoBack"/>
      <w:bookmarkEnd w:id="0"/>
      <w:r w:rsidR="00A016D4">
        <w:rPr>
          <w:sz w:val="28"/>
          <w:szCs w:val="28"/>
        </w:rPr>
        <w:t xml:space="preserve">выполнение </w:t>
      </w:r>
      <w:r w:rsidR="00A016D4" w:rsidRPr="006A16A5">
        <w:rPr>
          <w:sz w:val="28"/>
          <w:szCs w:val="28"/>
        </w:rPr>
        <w:t>основны</w:t>
      </w:r>
      <w:r w:rsidR="00A016D4">
        <w:rPr>
          <w:sz w:val="28"/>
          <w:szCs w:val="28"/>
        </w:rPr>
        <w:t>х</w:t>
      </w:r>
      <w:r w:rsidR="00A016D4" w:rsidRPr="006A16A5">
        <w:rPr>
          <w:sz w:val="28"/>
          <w:szCs w:val="28"/>
        </w:rPr>
        <w:t xml:space="preserve"> направления бюджетной и налоговой  политики городского округа Кинешма на 2024 год и плановый период 2025 и 2026 годов</w:t>
      </w:r>
      <w:r w:rsidR="00A016D4">
        <w:rPr>
          <w:sz w:val="28"/>
          <w:szCs w:val="28"/>
        </w:rPr>
        <w:t xml:space="preserve">. </w:t>
      </w:r>
    </w:p>
    <w:p w:rsidR="00107389" w:rsidRPr="006E39D8" w:rsidRDefault="00107389" w:rsidP="00107389">
      <w:pPr>
        <w:ind w:firstLine="708"/>
        <w:jc w:val="both"/>
      </w:pPr>
      <w:r w:rsidRPr="006A16A5">
        <w:t>2. Настоящее постановление</w:t>
      </w:r>
      <w:r w:rsidRPr="006E39D8">
        <w:t xml:space="preserve"> вступает в силу со дня </w:t>
      </w:r>
      <w:r>
        <w:t xml:space="preserve">его </w:t>
      </w:r>
      <w:r w:rsidR="00F152A0">
        <w:t>подписания</w:t>
      </w:r>
      <w:r w:rsidRPr="006E39D8">
        <w:t>.</w:t>
      </w:r>
    </w:p>
    <w:p w:rsidR="00107389" w:rsidRPr="006E39D8" w:rsidRDefault="00107389" w:rsidP="00107389">
      <w:pPr>
        <w:ind w:firstLine="708"/>
        <w:jc w:val="both"/>
      </w:pPr>
      <w:r w:rsidRPr="006E39D8">
        <w:t>3. Контроль по исполнению настоящего постановления возложить на</w:t>
      </w:r>
      <w:r>
        <w:t xml:space="preserve"> финансовое управление</w:t>
      </w:r>
      <w:r w:rsidRPr="006E39D8">
        <w:t xml:space="preserve"> </w:t>
      </w:r>
      <w:r>
        <w:t xml:space="preserve">администрации </w:t>
      </w:r>
      <w:r w:rsidRPr="006E39D8">
        <w:t>городского округа Кинешма.</w:t>
      </w:r>
    </w:p>
    <w:p w:rsidR="00107389" w:rsidRDefault="00107389" w:rsidP="00107389">
      <w:pPr>
        <w:ind w:firstLine="708"/>
        <w:jc w:val="both"/>
        <w:rPr>
          <w:b/>
          <w:sz w:val="20"/>
          <w:szCs w:val="20"/>
        </w:rPr>
      </w:pPr>
    </w:p>
    <w:p w:rsidR="00107389" w:rsidRDefault="00107389" w:rsidP="00107389">
      <w:pPr>
        <w:ind w:firstLine="708"/>
        <w:jc w:val="both"/>
        <w:rPr>
          <w:b/>
          <w:sz w:val="20"/>
          <w:szCs w:val="20"/>
        </w:rPr>
      </w:pPr>
    </w:p>
    <w:p w:rsidR="009B7AAC" w:rsidRDefault="00E412E1" w:rsidP="00107389">
      <w:pPr>
        <w:jc w:val="both"/>
        <w:rPr>
          <w:b/>
        </w:rPr>
      </w:pPr>
      <w:r>
        <w:rPr>
          <w:b/>
        </w:rPr>
        <w:t>Г</w:t>
      </w:r>
      <w:r w:rsidR="00107389">
        <w:rPr>
          <w:b/>
        </w:rPr>
        <w:t>лав</w:t>
      </w:r>
      <w:r>
        <w:rPr>
          <w:b/>
        </w:rPr>
        <w:t>а</w:t>
      </w:r>
      <w:r w:rsidR="00107389">
        <w:rPr>
          <w:b/>
        </w:rPr>
        <w:t xml:space="preserve"> </w:t>
      </w:r>
    </w:p>
    <w:p w:rsidR="00107389" w:rsidRDefault="00107389" w:rsidP="00107389">
      <w:pPr>
        <w:jc w:val="both"/>
        <w:rPr>
          <w:sz w:val="24"/>
          <w:szCs w:val="24"/>
        </w:rPr>
      </w:pPr>
      <w:r>
        <w:rPr>
          <w:b/>
        </w:rPr>
        <w:t>городского округа Кинешма</w:t>
      </w:r>
      <w:r>
        <w:rPr>
          <w:b/>
        </w:rPr>
        <w:tab/>
        <w:t xml:space="preserve">                                    </w:t>
      </w:r>
      <w:r w:rsidR="009B7AAC">
        <w:rPr>
          <w:b/>
        </w:rPr>
        <w:t xml:space="preserve">          </w:t>
      </w:r>
      <w:r w:rsidR="00E412E1">
        <w:rPr>
          <w:b/>
        </w:rPr>
        <w:t>В.Г.</w:t>
      </w:r>
      <w:r w:rsidR="009B7AAC">
        <w:rPr>
          <w:b/>
        </w:rPr>
        <w:t xml:space="preserve"> </w:t>
      </w:r>
      <w:r w:rsidR="00E412E1">
        <w:rPr>
          <w:b/>
        </w:rPr>
        <w:t>Ступин</w:t>
      </w:r>
    </w:p>
    <w:p w:rsidR="008963AE" w:rsidRDefault="008963AE" w:rsidP="008963AE">
      <w:pPr>
        <w:rPr>
          <w:sz w:val="20"/>
          <w:szCs w:val="20"/>
        </w:rPr>
      </w:pPr>
    </w:p>
    <w:p w:rsidR="00C72B77" w:rsidRDefault="008963AE" w:rsidP="008963AE">
      <w:pPr>
        <w:rPr>
          <w:sz w:val="20"/>
          <w:szCs w:val="20"/>
        </w:rPr>
      </w:pPr>
      <w:r w:rsidRPr="008963AE">
        <w:rPr>
          <w:sz w:val="20"/>
          <w:szCs w:val="20"/>
        </w:rPr>
        <w:t xml:space="preserve">Согласовано: </w:t>
      </w:r>
    </w:p>
    <w:p w:rsidR="008963AE" w:rsidRPr="008963AE" w:rsidRDefault="008C17D8" w:rsidP="008963AE">
      <w:pPr>
        <w:rPr>
          <w:sz w:val="20"/>
          <w:szCs w:val="20"/>
        </w:rPr>
      </w:pPr>
      <w:r>
        <w:rPr>
          <w:sz w:val="20"/>
          <w:szCs w:val="20"/>
        </w:rPr>
        <w:t xml:space="preserve">И. о. </w:t>
      </w:r>
      <w:r w:rsidR="008963AE" w:rsidRPr="008963AE">
        <w:rPr>
          <w:sz w:val="20"/>
          <w:szCs w:val="20"/>
        </w:rPr>
        <w:t>начальник</w:t>
      </w:r>
      <w:r>
        <w:rPr>
          <w:sz w:val="20"/>
          <w:szCs w:val="20"/>
        </w:rPr>
        <w:t>а</w:t>
      </w:r>
      <w:r w:rsidR="008963AE" w:rsidRPr="008963AE">
        <w:rPr>
          <w:sz w:val="20"/>
          <w:szCs w:val="20"/>
        </w:rPr>
        <w:t xml:space="preserve"> финансового управления</w:t>
      </w:r>
    </w:p>
    <w:p w:rsidR="008963AE" w:rsidRDefault="008963AE" w:rsidP="008963AE">
      <w:pPr>
        <w:rPr>
          <w:sz w:val="20"/>
          <w:szCs w:val="20"/>
        </w:rPr>
      </w:pPr>
      <w:r w:rsidRPr="008963AE">
        <w:rPr>
          <w:sz w:val="20"/>
          <w:szCs w:val="20"/>
        </w:rPr>
        <w:t>администрации городского округа Кинешма Л.</w:t>
      </w:r>
      <w:r w:rsidR="009B7AAC">
        <w:rPr>
          <w:sz w:val="20"/>
          <w:szCs w:val="20"/>
        </w:rPr>
        <w:t>Ю. Волкова</w:t>
      </w:r>
    </w:p>
    <w:p w:rsidR="009B7AAC" w:rsidRDefault="009B7AAC" w:rsidP="009B7AAC">
      <w:pPr>
        <w:rPr>
          <w:sz w:val="20"/>
          <w:szCs w:val="20"/>
        </w:rPr>
      </w:pPr>
    </w:p>
    <w:p w:rsidR="009B7AAC" w:rsidRDefault="008C17D8" w:rsidP="009B7AAC">
      <w:pPr>
        <w:rPr>
          <w:sz w:val="20"/>
          <w:szCs w:val="20"/>
        </w:rPr>
      </w:pPr>
      <w:r>
        <w:rPr>
          <w:sz w:val="20"/>
          <w:szCs w:val="20"/>
        </w:rPr>
        <w:t>Н</w:t>
      </w:r>
      <w:r w:rsidR="009B7AAC" w:rsidRPr="008963AE">
        <w:rPr>
          <w:sz w:val="20"/>
          <w:szCs w:val="20"/>
        </w:rPr>
        <w:t xml:space="preserve">ачальник управления правового сопровождения и контроля </w:t>
      </w:r>
    </w:p>
    <w:p w:rsidR="009B7AAC" w:rsidRPr="008963AE" w:rsidRDefault="009B7AAC" w:rsidP="009B7AAC">
      <w:pPr>
        <w:rPr>
          <w:sz w:val="20"/>
          <w:szCs w:val="20"/>
        </w:rPr>
      </w:pPr>
      <w:r w:rsidRPr="008963AE">
        <w:rPr>
          <w:sz w:val="20"/>
          <w:szCs w:val="20"/>
        </w:rPr>
        <w:t xml:space="preserve">администрации городского округа Кинешма </w:t>
      </w:r>
      <w:r>
        <w:rPr>
          <w:sz w:val="20"/>
          <w:szCs w:val="20"/>
        </w:rPr>
        <w:t>А.С.</w:t>
      </w:r>
      <w:r w:rsidR="005A5A37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Шершова</w:t>
      </w:r>
      <w:proofErr w:type="spellEnd"/>
    </w:p>
    <w:p w:rsidR="009B7AAC" w:rsidRPr="008963AE" w:rsidRDefault="009B7AAC" w:rsidP="008963AE">
      <w:pPr>
        <w:rPr>
          <w:sz w:val="20"/>
          <w:szCs w:val="20"/>
        </w:rPr>
      </w:pPr>
    </w:p>
    <w:p w:rsidR="00107389" w:rsidRPr="008963AE" w:rsidRDefault="00107389" w:rsidP="00107389">
      <w:pPr>
        <w:rPr>
          <w:sz w:val="20"/>
          <w:szCs w:val="20"/>
        </w:rPr>
      </w:pPr>
      <w:r w:rsidRPr="008963AE">
        <w:rPr>
          <w:sz w:val="20"/>
          <w:szCs w:val="20"/>
        </w:rPr>
        <w:t xml:space="preserve">Исполнитель: </w:t>
      </w:r>
      <w:r w:rsidR="00C767C1" w:rsidRPr="008963AE">
        <w:rPr>
          <w:sz w:val="20"/>
          <w:szCs w:val="20"/>
        </w:rPr>
        <w:t>начальник бюджетного отдела</w:t>
      </w:r>
      <w:r w:rsidRPr="008963AE">
        <w:rPr>
          <w:sz w:val="20"/>
          <w:szCs w:val="20"/>
        </w:rPr>
        <w:t xml:space="preserve"> финансового управления</w:t>
      </w:r>
    </w:p>
    <w:p w:rsidR="00107389" w:rsidRPr="008963AE" w:rsidRDefault="00107389" w:rsidP="00107389">
      <w:pPr>
        <w:rPr>
          <w:sz w:val="20"/>
          <w:szCs w:val="20"/>
        </w:rPr>
      </w:pPr>
      <w:r w:rsidRPr="008963AE">
        <w:rPr>
          <w:sz w:val="20"/>
          <w:szCs w:val="20"/>
        </w:rPr>
        <w:t>администрации городского округа Кинешма М.А. Родькина</w:t>
      </w:r>
    </w:p>
    <w:p w:rsidR="00107389" w:rsidRPr="00350AFB" w:rsidRDefault="00107389" w:rsidP="00107389">
      <w:pPr>
        <w:shd w:val="clear" w:color="auto" w:fill="FFFFFF"/>
        <w:ind w:right="5"/>
        <w:jc w:val="right"/>
        <w:rPr>
          <w:sz w:val="24"/>
          <w:szCs w:val="24"/>
        </w:rPr>
      </w:pPr>
      <w:r w:rsidRPr="00350AFB">
        <w:rPr>
          <w:sz w:val="24"/>
          <w:szCs w:val="24"/>
        </w:rPr>
        <w:lastRenderedPageBreak/>
        <w:t>Приложение</w:t>
      </w:r>
    </w:p>
    <w:p w:rsidR="00107389" w:rsidRPr="00350AFB" w:rsidRDefault="00107389" w:rsidP="00107389">
      <w:pPr>
        <w:shd w:val="clear" w:color="auto" w:fill="FFFFFF"/>
        <w:ind w:right="5"/>
        <w:jc w:val="right"/>
        <w:rPr>
          <w:sz w:val="24"/>
          <w:szCs w:val="24"/>
        </w:rPr>
      </w:pPr>
      <w:r w:rsidRPr="00350AFB">
        <w:rPr>
          <w:sz w:val="24"/>
          <w:szCs w:val="24"/>
        </w:rPr>
        <w:t>к постановлению администрации</w:t>
      </w:r>
    </w:p>
    <w:p w:rsidR="00107389" w:rsidRPr="00350AFB" w:rsidRDefault="00107389" w:rsidP="00107389">
      <w:pPr>
        <w:shd w:val="clear" w:color="auto" w:fill="FFFFFF"/>
        <w:ind w:right="5"/>
        <w:jc w:val="right"/>
        <w:rPr>
          <w:sz w:val="24"/>
          <w:szCs w:val="24"/>
        </w:rPr>
      </w:pPr>
      <w:r w:rsidRPr="00350AFB">
        <w:rPr>
          <w:sz w:val="24"/>
          <w:szCs w:val="24"/>
        </w:rPr>
        <w:t>городского округа Кинешма</w:t>
      </w:r>
    </w:p>
    <w:p w:rsidR="00350AFB" w:rsidRPr="00350AFB" w:rsidRDefault="00107389" w:rsidP="00350AFB">
      <w:pPr>
        <w:jc w:val="right"/>
        <w:rPr>
          <w:sz w:val="24"/>
          <w:szCs w:val="24"/>
          <w:u w:val="single"/>
        </w:rPr>
      </w:pPr>
      <w:r w:rsidRPr="00350AFB">
        <w:rPr>
          <w:sz w:val="24"/>
          <w:szCs w:val="24"/>
        </w:rPr>
        <w:t xml:space="preserve">от </w:t>
      </w:r>
      <w:r w:rsidR="00350AFB" w:rsidRPr="00350AFB">
        <w:rPr>
          <w:sz w:val="24"/>
          <w:szCs w:val="24"/>
        </w:rPr>
        <w:t xml:space="preserve"> </w:t>
      </w:r>
      <w:r w:rsidR="0050038D">
        <w:rPr>
          <w:sz w:val="24"/>
          <w:szCs w:val="24"/>
        </w:rPr>
        <w:t>25.10.2023</w:t>
      </w:r>
      <w:r w:rsidR="00350AFB" w:rsidRPr="00350AFB">
        <w:rPr>
          <w:sz w:val="24"/>
          <w:szCs w:val="24"/>
        </w:rPr>
        <w:t xml:space="preserve"> № </w:t>
      </w:r>
      <w:r w:rsidR="0050038D">
        <w:rPr>
          <w:sz w:val="24"/>
          <w:szCs w:val="24"/>
        </w:rPr>
        <w:t>1797-п</w:t>
      </w:r>
    </w:p>
    <w:p w:rsidR="00107389" w:rsidRPr="00350AFB" w:rsidRDefault="00107389" w:rsidP="00107389">
      <w:pPr>
        <w:jc w:val="right"/>
        <w:rPr>
          <w:sz w:val="24"/>
          <w:szCs w:val="24"/>
        </w:rPr>
      </w:pPr>
    </w:p>
    <w:p w:rsidR="0017420A" w:rsidRDefault="0017420A" w:rsidP="00D06354">
      <w:pPr>
        <w:shd w:val="clear" w:color="auto" w:fill="FFFFFF"/>
        <w:jc w:val="center"/>
        <w:outlineLvl w:val="0"/>
        <w:rPr>
          <w:b/>
        </w:rPr>
      </w:pPr>
      <w:r>
        <w:rPr>
          <w:b/>
        </w:rPr>
        <w:t>О</w:t>
      </w:r>
      <w:r w:rsidRPr="0017420A">
        <w:rPr>
          <w:b/>
        </w:rPr>
        <w:t xml:space="preserve">сновные направления бюджетной </w:t>
      </w:r>
      <w:r w:rsidR="00390FF7">
        <w:rPr>
          <w:b/>
        </w:rPr>
        <w:t>и</w:t>
      </w:r>
      <w:r w:rsidRPr="0017420A">
        <w:rPr>
          <w:b/>
        </w:rPr>
        <w:t xml:space="preserve"> налоговой политики городского округа Кинешма на 20</w:t>
      </w:r>
      <w:r w:rsidR="008866C6">
        <w:rPr>
          <w:b/>
        </w:rPr>
        <w:t>2</w:t>
      </w:r>
      <w:r w:rsidR="003A466D">
        <w:rPr>
          <w:b/>
        </w:rPr>
        <w:t>4</w:t>
      </w:r>
      <w:r w:rsidRPr="0017420A">
        <w:rPr>
          <w:b/>
        </w:rPr>
        <w:t xml:space="preserve"> год и плановый период 202</w:t>
      </w:r>
      <w:r w:rsidR="003A466D">
        <w:rPr>
          <w:b/>
        </w:rPr>
        <w:t>5</w:t>
      </w:r>
      <w:r w:rsidRPr="0017420A">
        <w:rPr>
          <w:b/>
        </w:rPr>
        <w:t xml:space="preserve"> и 202</w:t>
      </w:r>
      <w:r w:rsidR="003A466D">
        <w:rPr>
          <w:b/>
        </w:rPr>
        <w:t>6</w:t>
      </w:r>
      <w:r w:rsidRPr="0017420A">
        <w:rPr>
          <w:b/>
        </w:rPr>
        <w:t xml:space="preserve"> годов</w:t>
      </w:r>
    </w:p>
    <w:p w:rsidR="0017420A" w:rsidRPr="0017420A" w:rsidRDefault="0017420A" w:rsidP="00D06354">
      <w:pPr>
        <w:shd w:val="clear" w:color="auto" w:fill="FFFFFF"/>
        <w:jc w:val="center"/>
        <w:outlineLvl w:val="0"/>
        <w:rPr>
          <w:b/>
          <w:bCs/>
          <w:color w:val="000000"/>
          <w:kern w:val="36"/>
        </w:rPr>
      </w:pPr>
    </w:p>
    <w:p w:rsidR="00C81AB1" w:rsidRPr="008963AE" w:rsidRDefault="00D06354" w:rsidP="00D47A4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Основные направления бюджетной </w:t>
      </w:r>
      <w:r w:rsidR="00390FF7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1742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налоговой политики </w:t>
      </w:r>
      <w:r w:rsidR="001742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 Кинешма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</w:t>
      </w:r>
      <w:r w:rsidR="008866C6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8E391B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267AF2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год и на плановый период 202</w:t>
      </w:r>
      <w:r w:rsidR="008E391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202</w:t>
      </w:r>
      <w:r w:rsidR="008E391B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годов</w:t>
      </w:r>
      <w:r w:rsidR="001742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(далее - бюджетная политика) п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343A38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дг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343A38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то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влены в соответствии со статьями </w:t>
      </w:r>
      <w:r w:rsidR="002B389E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33, 34, </w:t>
      </w:r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172, 184.2 Бюджетного кодекса Российской Федерации (далее – Бюджетный кодекс), </w:t>
      </w:r>
      <w:r w:rsidR="001742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решением Кинешемской городской Думы от 21.07.2010 № 8/63 «О бюджетном процессе в городском округе Кинешма»</w:t>
      </w:r>
      <w:r w:rsidR="004B0EA8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,  постановлением администрации городского округа Кинешма от</w:t>
      </w:r>
      <w:proofErr w:type="gramEnd"/>
      <w:r w:rsidR="004B0EA8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29.07.2019 № 956-п «О порядке составления проекта бюджета городского округа Кинешма на очередной финансовый год и плановый период, подготовки изменений в решение о бюджете городского округа Кинешма на текущий финансовый год и плановый период»</w:t>
      </w:r>
      <w:r w:rsidR="00C81AB1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C81AB1" w:rsidRDefault="00C81AB1" w:rsidP="00D47A49">
      <w:pPr>
        <w:shd w:val="clear" w:color="auto" w:fill="FFFFFF"/>
        <w:ind w:firstLine="708"/>
        <w:jc w:val="both"/>
      </w:pPr>
      <w:r w:rsidRPr="008963AE">
        <w:t>Основные направления бюджетной политики являются базой для формирования проекта бюджета городского округа</w:t>
      </w:r>
      <w:r w:rsidRPr="00D47A49">
        <w:t xml:space="preserve"> </w:t>
      </w:r>
      <w:r w:rsidR="008C5D27" w:rsidRPr="00D47A49">
        <w:t>Кинешма</w:t>
      </w:r>
      <w:r w:rsidRPr="00D47A49">
        <w:t xml:space="preserve"> на </w:t>
      </w:r>
      <w:r w:rsidR="008E391B">
        <w:t>предстоящий бюджетный цикл</w:t>
      </w:r>
      <w:r w:rsidR="008C5D27">
        <w:t xml:space="preserve"> (далее – проект бюджета) и</w:t>
      </w:r>
      <w:r>
        <w:t xml:space="preserve"> определяют стратегию действий в части</w:t>
      </w:r>
      <w:r w:rsidR="00C950CD">
        <w:t xml:space="preserve"> исполнения</w:t>
      </w:r>
      <w:r>
        <w:t xml:space="preserve"> доходов, расходов бюджета и муниципального </w:t>
      </w:r>
      <w:r w:rsidR="008E391B">
        <w:t xml:space="preserve">финансового </w:t>
      </w:r>
      <w:r>
        <w:t xml:space="preserve">контроля. </w:t>
      </w:r>
    </w:p>
    <w:p w:rsidR="00636B97" w:rsidRPr="0065364C" w:rsidRDefault="00D06354" w:rsidP="00636B97">
      <w:pPr>
        <w:shd w:val="clear" w:color="auto" w:fill="FFFFFF"/>
        <w:ind w:firstLine="708"/>
        <w:jc w:val="both"/>
        <w:rPr>
          <w:color w:val="000000"/>
        </w:rPr>
      </w:pPr>
      <w:r w:rsidRPr="0065364C">
        <w:rPr>
          <w:color w:val="000000"/>
        </w:rPr>
        <w:t xml:space="preserve">Бюджетная политика </w:t>
      </w:r>
      <w:r w:rsidR="00204905">
        <w:rPr>
          <w:color w:val="000000"/>
        </w:rPr>
        <w:t xml:space="preserve">сформирована с учетом обязательств, предусматриваемых соглашением о мерах по социально-экономическому развитию и оздоровлению муниципальных финансов, и </w:t>
      </w:r>
      <w:r w:rsidRPr="0065364C">
        <w:rPr>
          <w:color w:val="000000"/>
        </w:rPr>
        <w:t xml:space="preserve">направлена на создание условий для устойчивого </w:t>
      </w:r>
      <w:r w:rsidR="0065364C" w:rsidRPr="0065364C">
        <w:rPr>
          <w:color w:val="000000"/>
        </w:rPr>
        <w:t>финансово</w:t>
      </w:r>
      <w:r w:rsidRPr="0065364C">
        <w:rPr>
          <w:color w:val="000000"/>
        </w:rPr>
        <w:t xml:space="preserve">-экономического развития </w:t>
      </w:r>
      <w:r w:rsidR="007A473A" w:rsidRPr="0065364C">
        <w:rPr>
          <w:color w:val="000000"/>
        </w:rPr>
        <w:t>городского округа Кинешма</w:t>
      </w:r>
      <w:r w:rsidRPr="0065364C">
        <w:rPr>
          <w:color w:val="000000"/>
        </w:rPr>
        <w:t xml:space="preserve"> в целях  обеспечения </w:t>
      </w:r>
      <w:r w:rsidR="00EA7921">
        <w:rPr>
          <w:color w:val="000000"/>
        </w:rPr>
        <w:t xml:space="preserve">планирования, </w:t>
      </w:r>
      <w:r w:rsidR="004B0EA8">
        <w:rPr>
          <w:color w:val="000000"/>
        </w:rPr>
        <w:t xml:space="preserve">исполнения бюджета, </w:t>
      </w:r>
      <w:r w:rsidRPr="0065364C">
        <w:rPr>
          <w:color w:val="000000"/>
        </w:rPr>
        <w:t>реализации приоритетных задач</w:t>
      </w:r>
      <w:r w:rsidR="00636B97" w:rsidRPr="0065364C">
        <w:rPr>
          <w:color w:val="000000"/>
        </w:rPr>
        <w:t>, а также повышени</w:t>
      </w:r>
      <w:r w:rsidR="00965AA7">
        <w:rPr>
          <w:color w:val="000000"/>
        </w:rPr>
        <w:t>я</w:t>
      </w:r>
      <w:r w:rsidR="00636B97" w:rsidRPr="0065364C">
        <w:rPr>
          <w:color w:val="000000"/>
        </w:rPr>
        <w:t xml:space="preserve"> прозрачности и открытости бюджета и </w:t>
      </w:r>
      <w:r w:rsidR="0065364C">
        <w:rPr>
          <w:color w:val="000000"/>
        </w:rPr>
        <w:t>бюджетного процесса</w:t>
      </w:r>
      <w:r w:rsidR="00636B97" w:rsidRPr="0065364C">
        <w:rPr>
          <w:color w:val="000000"/>
        </w:rPr>
        <w:t>.</w:t>
      </w:r>
    </w:p>
    <w:p w:rsidR="002E233B" w:rsidRDefault="002E233B" w:rsidP="002E233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" w:name="sub_1001"/>
    </w:p>
    <w:p w:rsidR="00C950CD" w:rsidRDefault="00BE0777" w:rsidP="002E233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86493">
        <w:rPr>
          <w:rFonts w:ascii="Times New Roman" w:hAnsi="Times New Roman" w:cs="Times New Roman"/>
          <w:sz w:val="28"/>
          <w:szCs w:val="28"/>
        </w:rPr>
        <w:t>1. Цели и задачи бюджетной политики на 202</w:t>
      </w:r>
      <w:r w:rsidR="00C950CD">
        <w:rPr>
          <w:rFonts w:ascii="Times New Roman" w:hAnsi="Times New Roman" w:cs="Times New Roman"/>
          <w:sz w:val="28"/>
          <w:szCs w:val="28"/>
        </w:rPr>
        <w:t>4</w:t>
      </w:r>
      <w:r w:rsidRPr="00986493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BE0777" w:rsidRDefault="00BE0777" w:rsidP="002E233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86493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950CD">
        <w:rPr>
          <w:rFonts w:ascii="Times New Roman" w:hAnsi="Times New Roman" w:cs="Times New Roman"/>
          <w:sz w:val="28"/>
          <w:szCs w:val="28"/>
        </w:rPr>
        <w:t>5</w:t>
      </w:r>
      <w:r w:rsidRPr="00986493">
        <w:rPr>
          <w:rFonts w:ascii="Times New Roman" w:hAnsi="Times New Roman" w:cs="Times New Roman"/>
          <w:sz w:val="28"/>
          <w:szCs w:val="28"/>
        </w:rPr>
        <w:t xml:space="preserve"> и 202</w:t>
      </w:r>
      <w:r w:rsidR="00C950CD">
        <w:rPr>
          <w:rFonts w:ascii="Times New Roman" w:hAnsi="Times New Roman" w:cs="Times New Roman"/>
          <w:sz w:val="28"/>
          <w:szCs w:val="28"/>
        </w:rPr>
        <w:t>6</w:t>
      </w:r>
      <w:r w:rsidRPr="0098649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04905" w:rsidRPr="00204905" w:rsidRDefault="00204905" w:rsidP="00204905">
      <w:pPr>
        <w:rPr>
          <w:lang w:eastAsia="en-US"/>
        </w:rPr>
      </w:pPr>
    </w:p>
    <w:bookmarkEnd w:id="1"/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 xml:space="preserve">Бюджетная политика сохраняет преемственность задач, определенных в </w:t>
      </w:r>
      <w:r w:rsidR="002E233B">
        <w:rPr>
          <w:rFonts w:eastAsiaTheme="minorHAnsi"/>
          <w:lang w:eastAsia="en-US"/>
        </w:rPr>
        <w:t>предыдущие годы</w:t>
      </w:r>
      <w:r w:rsidRPr="009307CA">
        <w:rPr>
          <w:rFonts w:eastAsiaTheme="minorHAnsi"/>
          <w:lang w:eastAsia="en-US"/>
        </w:rPr>
        <w:t>. В условиях нестабильной экономической ситуации, ограниченности бюджетных ресурсов обеспечение сбалансированности и устойчивости бюджетной системы городского округа Кинешма является первостепенной задачей.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>Решение данной задачи будет осуществляться по следующим направлениям: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>- бюджетное планирование исходя из возможностей доходного потенциала, как базового принципа ответственной бюджетной политики;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>- формирование бюджетных параметров исходя из необходимости исполнения действующих обязательств;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>- повышение эффективности бюджетных расходов;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lastRenderedPageBreak/>
        <w:t xml:space="preserve">- </w:t>
      </w:r>
      <w:proofErr w:type="spellStart"/>
      <w:r w:rsidRPr="009307CA">
        <w:rPr>
          <w:rFonts w:eastAsiaTheme="minorHAnsi"/>
          <w:lang w:eastAsia="en-US"/>
        </w:rPr>
        <w:t>приоритизация</w:t>
      </w:r>
      <w:proofErr w:type="spellEnd"/>
      <w:r w:rsidRPr="009307CA">
        <w:rPr>
          <w:rFonts w:eastAsiaTheme="minorHAnsi"/>
          <w:lang w:eastAsia="en-US"/>
        </w:rPr>
        <w:t xml:space="preserve"> бюджетных расходов в целях реализации указов Президента Российской Федерации, определяющих национальные цели развития страны;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>- повышение качества предоставления муниципальных услуг;</w:t>
      </w:r>
    </w:p>
    <w:p w:rsid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 xml:space="preserve">- обеспечение публичности процесса управления муниципальными финансами, обеспечение прозрачности и открытости </w:t>
      </w:r>
      <w:r w:rsidR="00A207AD">
        <w:rPr>
          <w:rFonts w:eastAsiaTheme="minorHAnsi"/>
          <w:lang w:eastAsia="en-US"/>
        </w:rPr>
        <w:t>бюджетного процесса для граждан;</w:t>
      </w:r>
    </w:p>
    <w:p w:rsidR="00A207AD" w:rsidRDefault="00A207AD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применение результатов проведенной оценки эффективности налоговых расходов </w:t>
      </w:r>
      <w:r w:rsidR="00820450">
        <w:rPr>
          <w:rFonts w:eastAsiaTheme="minorHAnsi"/>
          <w:lang w:eastAsia="en-US"/>
        </w:rPr>
        <w:t xml:space="preserve">при принятии решений </w:t>
      </w:r>
      <w:r>
        <w:rPr>
          <w:rFonts w:eastAsiaTheme="minorHAnsi"/>
          <w:lang w:eastAsia="en-US"/>
        </w:rPr>
        <w:t xml:space="preserve">в качестве одного из основных инструментов эффективного </w:t>
      </w:r>
      <w:r w:rsidR="00AB579C">
        <w:rPr>
          <w:rFonts w:eastAsiaTheme="minorHAnsi"/>
          <w:lang w:eastAsia="en-US"/>
        </w:rPr>
        <w:t>управления бюджетными средствами</w:t>
      </w:r>
      <w:r>
        <w:rPr>
          <w:rFonts w:eastAsiaTheme="minorHAnsi"/>
          <w:lang w:eastAsia="en-US"/>
        </w:rPr>
        <w:t>;</w:t>
      </w:r>
    </w:p>
    <w:p w:rsidR="00A207AD" w:rsidRDefault="00820450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принятие решений о проведении контрольных мероприятий </w:t>
      </w:r>
      <w:r w:rsidR="004F6C4E">
        <w:rPr>
          <w:rFonts w:eastAsiaTheme="minorHAnsi"/>
          <w:lang w:eastAsia="en-US"/>
        </w:rPr>
        <w:t>и оценка показателей качества планирования и исполнения бюджета главными распорядителями бюджетных средств</w:t>
      </w:r>
      <w:r w:rsidR="004F6C4E" w:rsidRPr="004F6C4E">
        <w:rPr>
          <w:rFonts w:eastAsiaTheme="minorHAnsi"/>
          <w:lang w:eastAsia="en-US"/>
        </w:rPr>
        <w:t xml:space="preserve"> </w:t>
      </w:r>
      <w:r w:rsidR="004F6C4E">
        <w:rPr>
          <w:rFonts w:eastAsiaTheme="minorHAnsi"/>
          <w:lang w:eastAsia="en-US"/>
        </w:rPr>
        <w:t>на основании показателей финансового менеджмента</w:t>
      </w:r>
      <w:r w:rsidR="00CA6953">
        <w:rPr>
          <w:rFonts w:eastAsiaTheme="minorHAnsi"/>
          <w:lang w:eastAsia="en-US"/>
        </w:rPr>
        <w:t>;</w:t>
      </w:r>
    </w:p>
    <w:p w:rsidR="004F6C4E" w:rsidRDefault="004F6C4E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реализация главными распорядителями бюджетных сре</w:t>
      </w:r>
      <w:proofErr w:type="gramStart"/>
      <w:r>
        <w:rPr>
          <w:rFonts w:eastAsiaTheme="minorHAnsi"/>
          <w:lang w:eastAsia="en-US"/>
        </w:rPr>
        <w:t>дств пл</w:t>
      </w:r>
      <w:proofErr w:type="gramEnd"/>
      <w:r>
        <w:rPr>
          <w:rFonts w:eastAsiaTheme="minorHAnsi"/>
          <w:lang w:eastAsia="en-US"/>
        </w:rPr>
        <w:t>ана мероприятий по росту доходов, оптимизации расходов и совершенствованию долговой политики в рамках своих полномочий;</w:t>
      </w:r>
    </w:p>
    <w:p w:rsidR="004F6C4E" w:rsidRDefault="004F6C4E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осуществление казначейского сопровождения при реализации отдельных мероприятий в соответствии с бюджетным законодательством.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9307CA">
        <w:rPr>
          <w:rFonts w:eastAsiaTheme="minorHAnsi"/>
          <w:lang w:eastAsia="en-US"/>
        </w:rPr>
        <w:t xml:space="preserve">Особое внимание по-прежнему будет уделено изменениям </w:t>
      </w:r>
      <w:r w:rsidR="00267E7A">
        <w:rPr>
          <w:rFonts w:eastAsiaTheme="minorHAnsi"/>
          <w:lang w:eastAsia="en-US"/>
        </w:rPr>
        <w:t>бюджетного законодательства</w:t>
      </w:r>
      <w:r w:rsidRPr="009307CA">
        <w:rPr>
          <w:rFonts w:eastAsiaTheme="minorHAnsi"/>
          <w:lang w:eastAsia="en-US"/>
        </w:rPr>
        <w:t>, контролю исполнения установленных им требований и норм, своевременному внесению соответствующих изменений в муниципальные правовые акты.</w:t>
      </w:r>
    </w:p>
    <w:p w:rsidR="009307CA" w:rsidRPr="009307CA" w:rsidRDefault="009307CA" w:rsidP="009307CA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8866C6" w:rsidRPr="00DD559A" w:rsidRDefault="004F2E99" w:rsidP="006D0247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 w:rsidRPr="00DD559A">
        <w:rPr>
          <w:b/>
        </w:rPr>
        <w:t xml:space="preserve">2. </w:t>
      </w:r>
      <w:r w:rsidR="008866C6" w:rsidRPr="00DD559A">
        <w:rPr>
          <w:b/>
        </w:rPr>
        <w:t>Бюджетная политика в области доходов</w:t>
      </w:r>
    </w:p>
    <w:p w:rsidR="00E16CEA" w:rsidRPr="00DD559A" w:rsidRDefault="00E16CEA" w:rsidP="006D0247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9D0A33" w:rsidRPr="005A5A37" w:rsidRDefault="0008279F" w:rsidP="005A5A37">
      <w:pPr>
        <w:ind w:firstLine="709"/>
        <w:jc w:val="both"/>
      </w:pPr>
      <w:r w:rsidRPr="005A5A37">
        <w:rPr>
          <w:color w:val="000000"/>
        </w:rPr>
        <w:t>В 202</w:t>
      </w:r>
      <w:r w:rsidR="005A5A37" w:rsidRPr="005A5A37">
        <w:rPr>
          <w:color w:val="000000"/>
        </w:rPr>
        <w:t>4</w:t>
      </w:r>
      <w:r w:rsidRPr="005A5A37">
        <w:rPr>
          <w:color w:val="000000"/>
        </w:rPr>
        <w:t xml:space="preserve"> – 202</w:t>
      </w:r>
      <w:r w:rsidR="005A5A37" w:rsidRPr="005A5A37">
        <w:rPr>
          <w:color w:val="000000"/>
        </w:rPr>
        <w:t>6</w:t>
      </w:r>
      <w:r w:rsidRPr="005A5A37">
        <w:rPr>
          <w:color w:val="000000"/>
        </w:rPr>
        <w:t xml:space="preserve"> годах бюджетная политика в области доходов будет реализовываться </w:t>
      </w:r>
      <w:r w:rsidR="00DD1ABD" w:rsidRPr="005A5A37">
        <w:t xml:space="preserve">с учетом реализации </w:t>
      </w:r>
      <w:r w:rsidR="0084494D">
        <w:t xml:space="preserve">следующих </w:t>
      </w:r>
      <w:r w:rsidR="00DD1ABD" w:rsidRPr="005A5A37">
        <w:t>изменений законодательства:</w:t>
      </w:r>
    </w:p>
    <w:p w:rsidR="00CD03F3" w:rsidRDefault="00543957" w:rsidP="00DD1ABD">
      <w:pPr>
        <w:widowControl w:val="0"/>
        <w:autoSpaceDE w:val="0"/>
        <w:autoSpaceDN w:val="0"/>
        <w:ind w:firstLine="567"/>
        <w:jc w:val="both"/>
      </w:pPr>
      <w:r w:rsidRPr="005A5A37">
        <w:t>- с 01.01.2023 после проведенной на территории Ивановской области переоценки применяется новая кадастровая стоимость земельных участков для целей налогообложения</w:t>
      </w:r>
      <w:r w:rsidR="005A5A37" w:rsidRPr="005A5A37">
        <w:t xml:space="preserve">, и в 2024 году </w:t>
      </w:r>
      <w:r w:rsidR="005A5A37">
        <w:t>ожидается снижение поступлен</w:t>
      </w:r>
      <w:r w:rsidR="00676623">
        <w:t>ия</w:t>
      </w:r>
      <w:r w:rsidR="005A5A37">
        <w:t xml:space="preserve"> земельного налога с физических лиц</w:t>
      </w:r>
      <w:r w:rsidR="00676623">
        <w:t>, уплачиваемого</w:t>
      </w:r>
      <w:r w:rsidR="0084494D">
        <w:t xml:space="preserve"> за налоговый период 2023 года</w:t>
      </w:r>
      <w:r w:rsidR="009D0A33" w:rsidRPr="005A5A37">
        <w:t>;</w:t>
      </w:r>
    </w:p>
    <w:p w:rsidR="005A5A37" w:rsidRPr="005A5A37" w:rsidRDefault="005A5A37" w:rsidP="00DD1ABD">
      <w:pPr>
        <w:widowControl w:val="0"/>
        <w:autoSpaceDE w:val="0"/>
        <w:autoSpaceDN w:val="0"/>
        <w:ind w:firstLine="567"/>
        <w:jc w:val="both"/>
      </w:pPr>
      <w:r>
        <w:t>- ожидаемая переоценка  кадастровой стоимости объектов недвижимости на территории Ивановской области повлияет на поступление налога на имущество физических лиц</w:t>
      </w:r>
      <w:r w:rsidR="00CA6953">
        <w:t xml:space="preserve"> за 2024 год</w:t>
      </w:r>
      <w:r>
        <w:t>. Анализ сведений</w:t>
      </w:r>
      <w:r w:rsidR="0084494D">
        <w:t xml:space="preserve"> предварительных результатов кадастровой оценки зданий, помещений, сооружений и прочих объектов недвижимого имущества показал, что ожидается прирост поступлений данного вида налоговых доходов, начиная с уплаты налогов физическими лицами за налоговый период 2024 года в 2025 году;</w:t>
      </w:r>
      <w:r>
        <w:t xml:space="preserve"> </w:t>
      </w:r>
    </w:p>
    <w:p w:rsidR="00DD1ABD" w:rsidRDefault="005A5A37" w:rsidP="00DD1ABD">
      <w:pPr>
        <w:widowControl w:val="0"/>
        <w:autoSpaceDE w:val="0"/>
        <w:autoSpaceDN w:val="0"/>
        <w:ind w:firstLine="567"/>
        <w:jc w:val="both"/>
      </w:pPr>
      <w:proofErr w:type="gramStart"/>
      <w:r w:rsidRPr="005D6CB8">
        <w:t xml:space="preserve">- </w:t>
      </w:r>
      <w:r w:rsidR="005D6CB8" w:rsidRPr="005D6CB8">
        <w:t>переход с 01.01.202</w:t>
      </w:r>
      <w:r w:rsidR="00C9600D">
        <w:t>3</w:t>
      </w:r>
      <w:r w:rsidR="005D6CB8" w:rsidRPr="005D6CB8">
        <w:t xml:space="preserve"> на уплату большинства налогов посредством  </w:t>
      </w:r>
      <w:r w:rsidRPr="005D6CB8">
        <w:t>ЕНП</w:t>
      </w:r>
      <w:r w:rsidR="005D6CB8">
        <w:t xml:space="preserve"> изменил подход к формированию бюджета на очередной финансовый год: с целью обеспечения сбалансированности</w:t>
      </w:r>
      <w:r w:rsidR="0035704F">
        <w:t xml:space="preserve"> бюджета</w:t>
      </w:r>
      <w:r w:rsidR="005D6CB8">
        <w:t xml:space="preserve"> и бесперебойного финансирования в начале финансового года</w:t>
      </w:r>
      <w:r w:rsidR="0035704F">
        <w:t xml:space="preserve"> необходимо учитывать, что часть прогнозных поступлений налогов в 2024 году </w:t>
      </w:r>
      <w:r w:rsidR="006A4A34">
        <w:t xml:space="preserve">отразятся в бюджете в </w:t>
      </w:r>
      <w:r w:rsidR="006A4A34">
        <w:lastRenderedPageBreak/>
        <w:t xml:space="preserve">последний рабочий день календарного года и </w:t>
      </w:r>
      <w:r w:rsidR="00CA6953">
        <w:t>станут</w:t>
      </w:r>
      <w:r w:rsidR="0035704F">
        <w:t xml:space="preserve"> основ</w:t>
      </w:r>
      <w:r w:rsidR="00CA6953">
        <w:t>ой</w:t>
      </w:r>
      <w:r w:rsidR="0035704F">
        <w:t xml:space="preserve"> формирования остатков</w:t>
      </w:r>
      <w:r w:rsidR="00C9600D">
        <w:t xml:space="preserve"> на счете бюджета </w:t>
      </w:r>
      <w:r w:rsidR="0035704F">
        <w:t>на начало 2025</w:t>
      </w:r>
      <w:proofErr w:type="gramEnd"/>
      <w:r w:rsidR="0035704F">
        <w:t xml:space="preserve"> года, а значит, планирование расходов должно быть основано </w:t>
      </w:r>
      <w:r w:rsidR="006A4A34">
        <w:t>на принципе неполного использования плановых назначений налоговых доходов (в частности –</w:t>
      </w:r>
      <w:r w:rsidR="00DD559A">
        <w:t xml:space="preserve"> НДФЛ);</w:t>
      </w:r>
    </w:p>
    <w:p w:rsidR="00DD559A" w:rsidRPr="005D6CB8" w:rsidRDefault="00DD559A" w:rsidP="00DD1ABD">
      <w:pPr>
        <w:widowControl w:val="0"/>
        <w:autoSpaceDE w:val="0"/>
        <w:autoSpaceDN w:val="0"/>
        <w:ind w:firstLine="567"/>
        <w:jc w:val="both"/>
      </w:pPr>
      <w:r>
        <w:t xml:space="preserve">- </w:t>
      </w:r>
      <w:r w:rsidR="00C9600D">
        <w:t>полномочия</w:t>
      </w:r>
      <w:r>
        <w:t xml:space="preserve"> главных администраторов по </w:t>
      </w:r>
      <w:r w:rsidR="00C9600D">
        <w:t>взысканию</w:t>
      </w:r>
      <w:r>
        <w:t xml:space="preserve"> дебиторской задолженности по доходам </w:t>
      </w:r>
      <w:r w:rsidR="00391A75">
        <w:t xml:space="preserve">должна проводиться </w:t>
      </w:r>
      <w:r w:rsidR="00C9600D">
        <w:t>на основании</w:t>
      </w:r>
      <w:r w:rsidR="00391A75">
        <w:t xml:space="preserve"> регламентов, утвержденных в соответствии с</w:t>
      </w:r>
      <w:r w:rsidR="00391A75" w:rsidRPr="00391A75">
        <w:t xml:space="preserve"> приказом Минфина РФ от 18.11.2022 № 172н «Об утверждении общих требований к регламенту </w:t>
      </w:r>
      <w:proofErr w:type="gramStart"/>
      <w:r w:rsidR="00391A75" w:rsidRPr="00391A75">
        <w:t>реализации полномочий администратора доходов бюджета</w:t>
      </w:r>
      <w:proofErr w:type="gramEnd"/>
      <w:r w:rsidR="00391A75" w:rsidRPr="00391A75">
        <w:t xml:space="preserve"> по взысканию дебиторской задолженности по платежам в бюджет, пеням и штрафам по ним»</w:t>
      </w:r>
      <w:r w:rsidR="00391A75">
        <w:t>.</w:t>
      </w:r>
    </w:p>
    <w:p w:rsidR="00145572" w:rsidRPr="00145572" w:rsidRDefault="00DD1ABD" w:rsidP="00145572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DD559A">
        <w:t xml:space="preserve">Налоговая политика городского округа </w:t>
      </w:r>
      <w:r w:rsidR="00E946F8" w:rsidRPr="00DD559A">
        <w:t>Кинешма</w:t>
      </w:r>
      <w:r w:rsidRPr="00DD559A">
        <w:t xml:space="preserve"> на 202</w:t>
      </w:r>
      <w:r w:rsidR="005D6CB8" w:rsidRPr="00DD559A">
        <w:t>4</w:t>
      </w:r>
      <w:r w:rsidRPr="00DD559A">
        <w:t xml:space="preserve"> год и плановый период 202</w:t>
      </w:r>
      <w:r w:rsidR="005D6CB8" w:rsidRPr="00DD559A">
        <w:t>5</w:t>
      </w:r>
      <w:r w:rsidRPr="00DD559A">
        <w:t xml:space="preserve"> и 202</w:t>
      </w:r>
      <w:r w:rsidR="005D6CB8" w:rsidRPr="00DD559A">
        <w:t>6</w:t>
      </w:r>
      <w:r w:rsidRPr="00DD559A">
        <w:t xml:space="preserve"> годов будет направлена на </w:t>
      </w:r>
      <w:r w:rsidR="008866C6" w:rsidRPr="005A5A37">
        <w:rPr>
          <w:color w:val="000000"/>
        </w:rPr>
        <w:t>сохранени</w:t>
      </w:r>
      <w:r w:rsidR="00AB579C">
        <w:rPr>
          <w:color w:val="000000"/>
        </w:rPr>
        <w:t>е</w:t>
      </w:r>
      <w:r w:rsidR="008866C6" w:rsidRPr="005A5A37">
        <w:rPr>
          <w:color w:val="000000"/>
        </w:rPr>
        <w:t xml:space="preserve"> бюджетной устойчивости и обеспечени</w:t>
      </w:r>
      <w:r w:rsidR="00AB579C">
        <w:rPr>
          <w:color w:val="000000"/>
        </w:rPr>
        <w:t>е</w:t>
      </w:r>
      <w:r w:rsidR="008866C6" w:rsidRPr="005A5A37">
        <w:rPr>
          <w:color w:val="000000"/>
        </w:rPr>
        <w:t xml:space="preserve"> </w:t>
      </w:r>
      <w:r w:rsidR="0008279F" w:rsidRPr="005A5A37">
        <w:rPr>
          <w:color w:val="000000"/>
        </w:rPr>
        <w:t>бюджетной сбалансированности</w:t>
      </w:r>
      <w:r w:rsidR="00615214" w:rsidRPr="005A5A37">
        <w:rPr>
          <w:color w:val="000000"/>
        </w:rPr>
        <w:t xml:space="preserve"> в услов</w:t>
      </w:r>
      <w:r w:rsidR="00564F12" w:rsidRPr="005A5A37">
        <w:rPr>
          <w:color w:val="000000"/>
        </w:rPr>
        <w:t>иях высоких инфляционных рисков</w:t>
      </w:r>
      <w:r w:rsidR="0008279F" w:rsidRPr="005A5A37">
        <w:rPr>
          <w:color w:val="000000"/>
        </w:rPr>
        <w:t xml:space="preserve">, </w:t>
      </w:r>
      <w:r w:rsidR="00D60C90">
        <w:rPr>
          <w:color w:val="000000"/>
        </w:rPr>
        <w:t>что обуславливает необходимость</w:t>
      </w:r>
      <w:r w:rsidR="008866C6" w:rsidRPr="005A5A37">
        <w:rPr>
          <w:color w:val="000000"/>
        </w:rPr>
        <w:t xml:space="preserve"> </w:t>
      </w:r>
      <w:proofErr w:type="gramStart"/>
      <w:r w:rsidR="00D60C90">
        <w:rPr>
          <w:color w:val="000000"/>
        </w:rPr>
        <w:t>обеспечения роста</w:t>
      </w:r>
      <w:r w:rsidR="008866C6" w:rsidRPr="005A5A37">
        <w:rPr>
          <w:color w:val="000000"/>
        </w:rPr>
        <w:t xml:space="preserve"> доходов бюд</w:t>
      </w:r>
      <w:r w:rsidR="0043677C" w:rsidRPr="005A5A37">
        <w:rPr>
          <w:color w:val="000000"/>
        </w:rPr>
        <w:t>жета городского округа</w:t>
      </w:r>
      <w:proofErr w:type="gramEnd"/>
      <w:r w:rsidR="0043677C" w:rsidRPr="005A5A37">
        <w:rPr>
          <w:color w:val="000000"/>
        </w:rPr>
        <w:t xml:space="preserve"> Кинешма</w:t>
      </w:r>
      <w:r w:rsidR="00564F12" w:rsidRPr="005A5A37">
        <w:rPr>
          <w:color w:val="000000"/>
        </w:rPr>
        <w:t xml:space="preserve"> и повышени</w:t>
      </w:r>
      <w:r w:rsidR="00D60C90">
        <w:rPr>
          <w:color w:val="000000"/>
        </w:rPr>
        <w:t>я</w:t>
      </w:r>
      <w:r w:rsidR="00564F12" w:rsidRPr="005A5A37">
        <w:rPr>
          <w:color w:val="000000"/>
        </w:rPr>
        <w:t xml:space="preserve"> качества планирования</w:t>
      </w:r>
      <w:r w:rsidR="0043677C" w:rsidRPr="005A5A37">
        <w:rPr>
          <w:color w:val="000000"/>
        </w:rPr>
        <w:t>.</w:t>
      </w:r>
      <w:r w:rsidR="00145572" w:rsidRPr="00145572">
        <w:t xml:space="preserve"> </w:t>
      </w:r>
      <w:r w:rsidR="00145572" w:rsidRPr="00145572">
        <w:rPr>
          <w:color w:val="000000"/>
        </w:rPr>
        <w:t xml:space="preserve">Одним из основных направлений укрепления доходной части бюджета остается повышение качества администрирования доходов и применение консервативного сценария при прогнозировании поступлений. </w:t>
      </w:r>
    </w:p>
    <w:p w:rsidR="00145572" w:rsidRPr="00145572" w:rsidRDefault="00145572" w:rsidP="00145572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145572">
        <w:rPr>
          <w:color w:val="000000"/>
        </w:rPr>
        <w:t>Планирование поступления неналоговых доходов бюджета на период 2024-2026 годы будет основано на прогнозах, предоставленных главными администраторами (отраслевыми (функциональными) органами администрации городского округа Кинешма), с учетом анализа поступлений за период 2018-2022 годов и всех имеющихся рисков, а именно:</w:t>
      </w:r>
    </w:p>
    <w:p w:rsidR="00145572" w:rsidRPr="00145572" w:rsidRDefault="00145572" w:rsidP="00145572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145572">
        <w:rPr>
          <w:color w:val="000000"/>
        </w:rPr>
        <w:t>- низкий уровень спроса на предлагаемое к продаже муниципальное имущество среди потенциальных покупателей;</w:t>
      </w:r>
    </w:p>
    <w:p w:rsidR="00145572" w:rsidRPr="00145572" w:rsidRDefault="00145572" w:rsidP="00145572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145572">
        <w:rPr>
          <w:color w:val="000000"/>
        </w:rPr>
        <w:t>- низкий уровень собираемости платежей с населения;</w:t>
      </w:r>
    </w:p>
    <w:p w:rsidR="0043677C" w:rsidRPr="005A5A37" w:rsidRDefault="00145572" w:rsidP="00145572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145572">
        <w:rPr>
          <w:color w:val="000000"/>
        </w:rPr>
        <w:t>- снижение поступлений от аренды имущества и земельных участков в результате выкупа арендаторами объектов аренды и применения итогов проведенной переоценки.</w:t>
      </w:r>
    </w:p>
    <w:p w:rsidR="008866C6" w:rsidRPr="00ED7EBD" w:rsidRDefault="00F11E50" w:rsidP="008866C6">
      <w:pPr>
        <w:ind w:firstLine="709"/>
        <w:jc w:val="both"/>
        <w:rPr>
          <w:color w:val="000000"/>
        </w:rPr>
      </w:pPr>
      <w:r w:rsidRPr="00ED7EBD">
        <w:rPr>
          <w:color w:val="000000"/>
        </w:rPr>
        <w:t>Главными администраторами</w:t>
      </w:r>
      <w:r w:rsidR="004B453B">
        <w:rPr>
          <w:color w:val="000000"/>
        </w:rPr>
        <w:t xml:space="preserve"> неналоговых</w:t>
      </w:r>
      <w:r w:rsidRPr="00ED7EBD">
        <w:rPr>
          <w:color w:val="000000"/>
        </w:rPr>
        <w:t xml:space="preserve"> доходов бюджета городского округа Кинешма</w:t>
      </w:r>
      <w:r w:rsidR="004B453B">
        <w:rPr>
          <w:color w:val="000000"/>
        </w:rPr>
        <w:t>, являющимися отраслевыми (функциональными) органами администрации,</w:t>
      </w:r>
      <w:r w:rsidRPr="00ED7EBD">
        <w:rPr>
          <w:color w:val="000000"/>
        </w:rPr>
        <w:t xml:space="preserve"> должно быть </w:t>
      </w:r>
      <w:r w:rsidR="0043677C" w:rsidRPr="00ED7EBD">
        <w:rPr>
          <w:color w:val="000000"/>
        </w:rPr>
        <w:t xml:space="preserve">уделено </w:t>
      </w:r>
      <w:r w:rsidRPr="00ED7EBD">
        <w:rPr>
          <w:color w:val="000000"/>
        </w:rPr>
        <w:t xml:space="preserve">особое внимание </w:t>
      </w:r>
      <w:r w:rsidR="0043677C" w:rsidRPr="00ED7EBD">
        <w:rPr>
          <w:color w:val="000000"/>
        </w:rPr>
        <w:t xml:space="preserve">обоснованности </w:t>
      </w:r>
      <w:r w:rsidR="000A255E" w:rsidRPr="00ED7EBD">
        <w:rPr>
          <w:color w:val="000000"/>
        </w:rPr>
        <w:t>прогнозных</w:t>
      </w:r>
      <w:r w:rsidR="0043677C" w:rsidRPr="00ED7EBD">
        <w:rPr>
          <w:color w:val="000000"/>
        </w:rPr>
        <w:t xml:space="preserve"> показателей доходов </w:t>
      </w:r>
      <w:r w:rsidR="000A255E" w:rsidRPr="00ED7EBD">
        <w:rPr>
          <w:color w:val="000000"/>
        </w:rPr>
        <w:t xml:space="preserve">при формировании бюджета </w:t>
      </w:r>
      <w:r w:rsidR="0043677C" w:rsidRPr="00ED7EBD">
        <w:rPr>
          <w:color w:val="000000"/>
        </w:rPr>
        <w:t xml:space="preserve">с целью недопущения </w:t>
      </w:r>
      <w:r w:rsidRPr="00ED7EBD">
        <w:rPr>
          <w:color w:val="000000"/>
        </w:rPr>
        <w:t>неисполнения первоначально утвержденных плановых показателей</w:t>
      </w:r>
      <w:r w:rsidR="0033289A" w:rsidRPr="00ED7EBD">
        <w:rPr>
          <w:color w:val="000000"/>
        </w:rPr>
        <w:t xml:space="preserve">. </w:t>
      </w:r>
      <w:r w:rsidR="00AB579C">
        <w:rPr>
          <w:color w:val="000000"/>
        </w:rPr>
        <w:t>Данная мера</w:t>
      </w:r>
      <w:r w:rsidR="008866C6" w:rsidRPr="00ED7EBD">
        <w:rPr>
          <w:color w:val="000000"/>
        </w:rPr>
        <w:t xml:space="preserve"> </w:t>
      </w:r>
      <w:r w:rsidR="00BD48A0">
        <w:rPr>
          <w:color w:val="000000"/>
        </w:rPr>
        <w:t xml:space="preserve">будет </w:t>
      </w:r>
      <w:r w:rsidR="00AB579C">
        <w:rPr>
          <w:color w:val="000000"/>
        </w:rPr>
        <w:t>способств</w:t>
      </w:r>
      <w:r w:rsidR="00BD48A0">
        <w:rPr>
          <w:color w:val="000000"/>
        </w:rPr>
        <w:t>овать</w:t>
      </w:r>
      <w:r w:rsidR="00AB579C">
        <w:rPr>
          <w:color w:val="000000"/>
        </w:rPr>
        <w:t xml:space="preserve"> </w:t>
      </w:r>
      <w:r w:rsidR="008866C6" w:rsidRPr="00ED7EBD">
        <w:rPr>
          <w:color w:val="000000"/>
        </w:rPr>
        <w:t>исполнени</w:t>
      </w:r>
      <w:r w:rsidR="00AB579C">
        <w:rPr>
          <w:color w:val="000000"/>
        </w:rPr>
        <w:t>ю</w:t>
      </w:r>
      <w:r w:rsidR="008866C6" w:rsidRPr="00ED7EBD">
        <w:rPr>
          <w:color w:val="000000"/>
        </w:rPr>
        <w:t xml:space="preserve"> расходных обязательств городского округа Кинешма</w:t>
      </w:r>
      <w:r w:rsidR="00AB579C">
        <w:rPr>
          <w:color w:val="000000"/>
        </w:rPr>
        <w:t xml:space="preserve"> в полном объеме и </w:t>
      </w:r>
      <w:r w:rsidR="008866C6" w:rsidRPr="00ED7EBD">
        <w:rPr>
          <w:color w:val="000000"/>
        </w:rPr>
        <w:t xml:space="preserve">недопущению </w:t>
      </w:r>
      <w:r w:rsidRPr="00ED7EBD">
        <w:rPr>
          <w:color w:val="000000"/>
        </w:rPr>
        <w:t>возникновения</w:t>
      </w:r>
      <w:r w:rsidR="008866C6" w:rsidRPr="00ED7EBD">
        <w:rPr>
          <w:color w:val="000000"/>
        </w:rPr>
        <w:t xml:space="preserve"> </w:t>
      </w:r>
      <w:r w:rsidR="00AB579C">
        <w:rPr>
          <w:color w:val="000000"/>
        </w:rPr>
        <w:t xml:space="preserve">просроченной </w:t>
      </w:r>
      <w:r w:rsidR="008866C6" w:rsidRPr="00ED7EBD">
        <w:rPr>
          <w:color w:val="000000"/>
        </w:rPr>
        <w:t>кредиторской задолженности.</w:t>
      </w:r>
      <w:r w:rsidRPr="00ED7EBD">
        <w:rPr>
          <w:color w:val="000000"/>
        </w:rPr>
        <w:t xml:space="preserve"> </w:t>
      </w:r>
    </w:p>
    <w:p w:rsidR="005F01BC" w:rsidRPr="00ED7EBD" w:rsidRDefault="008866C6" w:rsidP="008866C6">
      <w:pPr>
        <w:ind w:firstLine="709"/>
        <w:jc w:val="both"/>
        <w:rPr>
          <w:color w:val="000000"/>
        </w:rPr>
      </w:pPr>
      <w:r w:rsidRPr="00ED7EBD">
        <w:rPr>
          <w:color w:val="000000"/>
        </w:rPr>
        <w:t>Основными целями бюджетной и налоговой политики городского округа Кинешма остаются</w:t>
      </w:r>
      <w:r w:rsidR="00293B10" w:rsidRPr="00ED7EBD">
        <w:rPr>
          <w:color w:val="000000"/>
        </w:rPr>
        <w:t>,</w:t>
      </w:r>
      <w:r w:rsidRPr="00ED7EBD">
        <w:rPr>
          <w:color w:val="000000"/>
        </w:rPr>
        <w:t xml:space="preserve"> укрепление доходной части и </w:t>
      </w:r>
      <w:r w:rsidR="008C31A1" w:rsidRPr="00ED7EBD">
        <w:rPr>
          <w:color w:val="000000"/>
        </w:rPr>
        <w:t>мониторинг</w:t>
      </w:r>
      <w:r w:rsidRPr="00ED7EBD">
        <w:rPr>
          <w:color w:val="000000"/>
        </w:rPr>
        <w:t xml:space="preserve"> </w:t>
      </w:r>
      <w:r w:rsidR="008C31A1" w:rsidRPr="00ED7EBD">
        <w:rPr>
          <w:color w:val="000000"/>
        </w:rPr>
        <w:t>своевременного</w:t>
      </w:r>
      <w:r w:rsidRPr="00ED7EBD">
        <w:rPr>
          <w:color w:val="000000"/>
        </w:rPr>
        <w:t xml:space="preserve"> поступления доходов в бюджет городского округа.</w:t>
      </w:r>
      <w:r w:rsidR="008C31A1" w:rsidRPr="00ED7EBD">
        <w:rPr>
          <w:color w:val="000000"/>
        </w:rPr>
        <w:t xml:space="preserve"> </w:t>
      </w:r>
    </w:p>
    <w:p w:rsidR="005A2F82" w:rsidRPr="00BD48A0" w:rsidRDefault="005A2F82" w:rsidP="008866C6">
      <w:pPr>
        <w:ind w:firstLine="709"/>
        <w:jc w:val="both"/>
        <w:rPr>
          <w:color w:val="000000"/>
        </w:rPr>
      </w:pPr>
      <w:r w:rsidRPr="00BD48A0">
        <w:rPr>
          <w:color w:val="000000"/>
        </w:rPr>
        <w:t>В условиях высоких инфляционных рисков</w:t>
      </w:r>
      <w:r w:rsidR="002660DF" w:rsidRPr="00BD48A0">
        <w:rPr>
          <w:color w:val="000000"/>
        </w:rPr>
        <w:t xml:space="preserve"> и</w:t>
      </w:r>
      <w:r w:rsidRPr="00BD48A0">
        <w:rPr>
          <w:color w:val="000000"/>
        </w:rPr>
        <w:t xml:space="preserve"> роста расходн</w:t>
      </w:r>
      <w:r w:rsidR="00B3503A" w:rsidRPr="00BD48A0">
        <w:rPr>
          <w:color w:val="000000"/>
        </w:rPr>
        <w:t>ого</w:t>
      </w:r>
      <w:r w:rsidR="002660DF" w:rsidRPr="00BD48A0">
        <w:rPr>
          <w:color w:val="000000"/>
        </w:rPr>
        <w:t xml:space="preserve"> </w:t>
      </w:r>
      <w:r w:rsidRPr="00BD48A0">
        <w:rPr>
          <w:color w:val="000000"/>
        </w:rPr>
        <w:t xml:space="preserve"> </w:t>
      </w:r>
      <w:r w:rsidR="002660DF" w:rsidRPr="00BD48A0">
        <w:rPr>
          <w:color w:val="000000"/>
        </w:rPr>
        <w:t>портфеля</w:t>
      </w:r>
      <w:r w:rsidRPr="00BD48A0">
        <w:rPr>
          <w:color w:val="000000"/>
        </w:rPr>
        <w:t xml:space="preserve"> возникает необходимость </w:t>
      </w:r>
      <w:r w:rsidR="00BD48A0" w:rsidRPr="00BD48A0">
        <w:rPr>
          <w:color w:val="000000"/>
        </w:rPr>
        <w:t xml:space="preserve">увеличения доходного потенциала </w:t>
      </w:r>
      <w:r w:rsidR="00BD48A0">
        <w:rPr>
          <w:color w:val="000000"/>
        </w:rPr>
        <w:lastRenderedPageBreak/>
        <w:t xml:space="preserve">города посредством </w:t>
      </w:r>
      <w:r w:rsidR="00816C66" w:rsidRPr="00BD48A0">
        <w:rPr>
          <w:color w:val="000000"/>
        </w:rPr>
        <w:t xml:space="preserve">индексации неналоговых платежей </w:t>
      </w:r>
      <w:r w:rsidR="00BD48A0" w:rsidRPr="00BD48A0">
        <w:rPr>
          <w:color w:val="000000"/>
        </w:rPr>
        <w:t>(плата за наем муниципального жилого фонда, плата по договорам на установку и эксплуатацию рекламных конструкций)</w:t>
      </w:r>
      <w:r w:rsidR="00B3503A" w:rsidRPr="00BD48A0">
        <w:rPr>
          <w:color w:val="000000"/>
        </w:rPr>
        <w:t>.</w:t>
      </w:r>
    </w:p>
    <w:p w:rsidR="005F01BC" w:rsidRPr="00DD559A" w:rsidRDefault="005F01BC" w:rsidP="008866C6">
      <w:pPr>
        <w:ind w:firstLine="709"/>
        <w:jc w:val="both"/>
        <w:rPr>
          <w:color w:val="000000"/>
        </w:rPr>
      </w:pPr>
      <w:proofErr w:type="gramStart"/>
      <w:r w:rsidRPr="00DD559A">
        <w:rPr>
          <w:color w:val="000000"/>
        </w:rPr>
        <w:t>Для</w:t>
      </w:r>
      <w:r w:rsidR="008C31A1" w:rsidRPr="00DD559A">
        <w:rPr>
          <w:color w:val="000000"/>
        </w:rPr>
        <w:t xml:space="preserve"> обеспечения бесперебойного финансирования </w:t>
      </w:r>
      <w:r w:rsidR="00B3503A" w:rsidRPr="00DD559A">
        <w:rPr>
          <w:color w:val="000000"/>
        </w:rPr>
        <w:t xml:space="preserve">в течение года и исключения фактов возникновения кассовых разрывов </w:t>
      </w:r>
      <w:r w:rsidR="008C31A1" w:rsidRPr="00DD559A">
        <w:rPr>
          <w:color w:val="000000"/>
        </w:rPr>
        <w:t xml:space="preserve">необходим комплексный подход </w:t>
      </w:r>
      <w:r w:rsidRPr="00DD559A">
        <w:rPr>
          <w:color w:val="000000"/>
        </w:rPr>
        <w:t xml:space="preserve">главных администраторов </w:t>
      </w:r>
      <w:r w:rsidR="008C31A1" w:rsidRPr="00DD559A">
        <w:rPr>
          <w:color w:val="000000"/>
        </w:rPr>
        <w:t xml:space="preserve">к разработке кассового плана поступлений в бюджет с учетом динамики поступлений последних </w:t>
      </w:r>
      <w:r w:rsidRPr="00DD559A">
        <w:rPr>
          <w:color w:val="000000"/>
        </w:rPr>
        <w:t>лет, а также сроков внесения платежей в соответствии с законодательством и сроками, установл</w:t>
      </w:r>
      <w:r w:rsidR="0008279F" w:rsidRPr="00DD559A">
        <w:rPr>
          <w:color w:val="000000"/>
        </w:rPr>
        <w:t>енными при заключении договоров, а также обеспечение главными администраторами безусловного исполнения показателей</w:t>
      </w:r>
      <w:r w:rsidRPr="00DD559A">
        <w:rPr>
          <w:color w:val="000000"/>
        </w:rPr>
        <w:t xml:space="preserve"> </w:t>
      </w:r>
      <w:r w:rsidR="00D66B4C" w:rsidRPr="00DD559A">
        <w:rPr>
          <w:color w:val="000000"/>
        </w:rPr>
        <w:t>кассового плана.</w:t>
      </w:r>
      <w:proofErr w:type="gramEnd"/>
    </w:p>
    <w:p w:rsidR="008866C6" w:rsidRPr="00391A75" w:rsidRDefault="008866C6" w:rsidP="008866C6">
      <w:pPr>
        <w:ind w:firstLine="709"/>
        <w:jc w:val="both"/>
        <w:rPr>
          <w:color w:val="000000"/>
        </w:rPr>
      </w:pPr>
      <w:r w:rsidRPr="00391A75">
        <w:rPr>
          <w:color w:val="000000"/>
        </w:rPr>
        <w:t xml:space="preserve">Важным направлением остаётся совершенствование работы по повышению эффективности управления муниципальной собственностью. </w:t>
      </w:r>
      <w:r w:rsidRPr="00391A75">
        <w:t>С целью получения дополнительных доходов</w:t>
      </w:r>
      <w:r w:rsidRPr="00391A75">
        <w:rPr>
          <w:color w:val="000000"/>
        </w:rPr>
        <w:t xml:space="preserve"> решение этой задачи будет проводиться посредством:</w:t>
      </w:r>
    </w:p>
    <w:p w:rsidR="008866C6" w:rsidRPr="00391A75" w:rsidRDefault="008866C6" w:rsidP="008866C6">
      <w:pPr>
        <w:ind w:firstLine="709"/>
        <w:jc w:val="both"/>
      </w:pPr>
      <w:r w:rsidRPr="00391A75">
        <w:rPr>
          <w:color w:val="000000"/>
        </w:rPr>
        <w:t xml:space="preserve">- </w:t>
      </w:r>
      <w:r w:rsidRPr="00391A75">
        <w:t xml:space="preserve">проведения работы по </w:t>
      </w:r>
      <w:r w:rsidRPr="00391A75">
        <w:rPr>
          <w:color w:val="000000"/>
        </w:rPr>
        <w:t>оптимизации структуры муниципальной собственности, в том числе сокращения имущества, не обеспечивающего выполнение функций и полномочий местного самоуправления. С целью снижения затрат на содержание неиспользуемого имущества и скорейшей его реализации предполагается осуществление продаж объектов собственности, ранее неоднократно выставляемых на продажу, посредством публичного предложения по более низкой цене</w:t>
      </w:r>
      <w:r w:rsidRPr="00391A75">
        <w:t xml:space="preserve">; </w:t>
      </w:r>
    </w:p>
    <w:p w:rsidR="008866C6" w:rsidRPr="00391A75" w:rsidRDefault="008866C6" w:rsidP="008866C6">
      <w:pPr>
        <w:ind w:firstLine="709"/>
        <w:jc w:val="both"/>
      </w:pPr>
      <w:r w:rsidRPr="00391A75">
        <w:t xml:space="preserve">- осуществления контроля </w:t>
      </w:r>
      <w:r w:rsidR="008C64F5" w:rsidRPr="00391A75">
        <w:t>над</w:t>
      </w:r>
      <w:r w:rsidRPr="00391A75">
        <w:t xml:space="preserve"> поступлением средств от использования муниципальной собственности; </w:t>
      </w:r>
    </w:p>
    <w:p w:rsidR="008866C6" w:rsidRPr="00391A75" w:rsidRDefault="008866C6" w:rsidP="008866C6">
      <w:pPr>
        <w:ind w:firstLine="709"/>
        <w:jc w:val="both"/>
        <w:rPr>
          <w:color w:val="000000"/>
        </w:rPr>
      </w:pPr>
      <w:r w:rsidRPr="00391A75">
        <w:t xml:space="preserve">- </w:t>
      </w:r>
      <w:r w:rsidRPr="00391A75">
        <w:rPr>
          <w:color w:val="000000"/>
        </w:rPr>
        <w:t xml:space="preserve">организации работы по выявлению неиспользуемых земельных участков с целью вовлечения их в гражданский оборот; </w:t>
      </w:r>
    </w:p>
    <w:p w:rsidR="008866C6" w:rsidRPr="00391A75" w:rsidRDefault="008866C6" w:rsidP="008866C6">
      <w:pPr>
        <w:ind w:firstLine="709"/>
        <w:jc w:val="both"/>
      </w:pPr>
      <w:r w:rsidRPr="00391A75">
        <w:rPr>
          <w:color w:val="000000"/>
        </w:rPr>
        <w:t xml:space="preserve">- </w:t>
      </w:r>
      <w:r w:rsidRPr="00391A75">
        <w:t>реализации земельных участков на условиях аренды для различных видов строительства через аукционы;</w:t>
      </w:r>
    </w:p>
    <w:p w:rsidR="008866C6" w:rsidRDefault="008866C6" w:rsidP="008866C6">
      <w:pPr>
        <w:ind w:firstLine="709"/>
        <w:jc w:val="both"/>
      </w:pPr>
      <w:r w:rsidRPr="00391A75">
        <w:t>- совершенствования механизма управления и распоряжения объектами недвижимости, обеспечение полноты и достоверности учета муницип</w:t>
      </w:r>
      <w:r w:rsidR="00086072" w:rsidRPr="00391A75">
        <w:t>ального имущества.</w:t>
      </w:r>
    </w:p>
    <w:p w:rsidR="00222D59" w:rsidRDefault="00222D59" w:rsidP="008866C6">
      <w:pPr>
        <w:ind w:firstLine="709"/>
        <w:jc w:val="both"/>
      </w:pPr>
    </w:p>
    <w:p w:rsidR="00222D59" w:rsidRPr="00222D59" w:rsidRDefault="00222D59" w:rsidP="008866C6">
      <w:pPr>
        <w:ind w:firstLine="709"/>
        <w:jc w:val="both"/>
        <w:rPr>
          <w:b/>
        </w:rPr>
      </w:pPr>
      <w:r>
        <w:rPr>
          <w:b/>
        </w:rPr>
        <w:t>3</w:t>
      </w:r>
      <w:r w:rsidRPr="00222D59">
        <w:rPr>
          <w:b/>
        </w:rPr>
        <w:t>. Бюджетная политика в области межбюджетных отношений</w:t>
      </w:r>
    </w:p>
    <w:p w:rsidR="00340ECE" w:rsidRPr="00391A75" w:rsidRDefault="00340ECE" w:rsidP="005F409E">
      <w:pPr>
        <w:ind w:firstLine="567"/>
        <w:jc w:val="both"/>
      </w:pPr>
    </w:p>
    <w:p w:rsidR="00340ECE" w:rsidRPr="00391A75" w:rsidRDefault="00340ECE" w:rsidP="00314745">
      <w:pPr>
        <w:widowControl w:val="0"/>
        <w:autoSpaceDE w:val="0"/>
        <w:autoSpaceDN w:val="0"/>
        <w:ind w:firstLine="567"/>
        <w:jc w:val="both"/>
      </w:pPr>
      <w:r w:rsidRPr="00391A75">
        <w:t>Межбюджетные отношения на 202</w:t>
      </w:r>
      <w:r w:rsidR="00391A75" w:rsidRPr="00391A75">
        <w:t>4</w:t>
      </w:r>
      <w:r w:rsidRPr="00391A75">
        <w:t xml:space="preserve"> - 202</w:t>
      </w:r>
      <w:r w:rsidR="00391A75" w:rsidRPr="00391A75">
        <w:t>6</w:t>
      </w:r>
      <w:r w:rsidRPr="00391A75">
        <w:t xml:space="preserve"> годы будут формироваться в соответствии с требованиями Бюджетного </w:t>
      </w:r>
      <w:hyperlink r:id="rId10" w:history="1">
        <w:r w:rsidRPr="00391A75">
          <w:t>кодекса</w:t>
        </w:r>
      </w:hyperlink>
      <w:r w:rsidRPr="00391A75">
        <w:t xml:space="preserve">, </w:t>
      </w:r>
      <w:hyperlink r:id="rId11" w:history="1">
        <w:r w:rsidRPr="00391A75">
          <w:t>Закон</w:t>
        </w:r>
        <w:r w:rsidR="00145572">
          <w:t>а</w:t>
        </w:r>
      </w:hyperlink>
      <w:r w:rsidRPr="00391A75">
        <w:t xml:space="preserve"> Ивановской области от 16.12.2019 № 72-ОЗ «О межбюджетных отношениях в Ивановской области</w:t>
      </w:r>
      <w:r w:rsidR="00145572">
        <w:t>»</w:t>
      </w:r>
      <w:r w:rsidR="00314745">
        <w:t xml:space="preserve"> и</w:t>
      </w:r>
      <w:r w:rsidR="00314745" w:rsidRPr="00314745">
        <w:t xml:space="preserve"> </w:t>
      </w:r>
      <w:r w:rsidR="00314745">
        <w:t>постановления Правительства Ивановской области от 23.03.2016 № 65-п «О формировании, предоставлении и распределении субсидий из областного бюджета бюджетам муниципальных образований Ивановской области»</w:t>
      </w:r>
      <w:r w:rsidRPr="00391A75">
        <w:t>.</w:t>
      </w:r>
    </w:p>
    <w:p w:rsidR="00340ECE" w:rsidRPr="00391A75" w:rsidRDefault="00340ECE" w:rsidP="00340ECE">
      <w:pPr>
        <w:widowControl w:val="0"/>
        <w:autoSpaceDE w:val="0"/>
        <w:autoSpaceDN w:val="0"/>
        <w:ind w:firstLine="567"/>
        <w:jc w:val="both"/>
      </w:pPr>
      <w:r w:rsidRPr="00391A75">
        <w:t xml:space="preserve">В целях сокращения финансовой нагрузки на бюджет города будет продолжено активное взаимодействие с органами государственной власти Ивановской области в части привлечения в бюджет города </w:t>
      </w:r>
      <w:r w:rsidR="00D018CD" w:rsidRPr="00391A75">
        <w:t>Кинешма</w:t>
      </w:r>
      <w:r w:rsidRPr="00391A75">
        <w:t xml:space="preserve"> федеральных и областных трансфертов, в том числе посредством:</w:t>
      </w:r>
    </w:p>
    <w:p w:rsidR="00340ECE" w:rsidRPr="00391A75" w:rsidRDefault="00340ECE" w:rsidP="00340ECE">
      <w:pPr>
        <w:widowControl w:val="0"/>
        <w:autoSpaceDE w:val="0"/>
        <w:autoSpaceDN w:val="0"/>
        <w:ind w:firstLine="567"/>
        <w:jc w:val="both"/>
      </w:pPr>
      <w:proofErr w:type="gramStart"/>
      <w:r w:rsidRPr="00391A75">
        <w:t xml:space="preserve">- </w:t>
      </w:r>
      <w:r w:rsidR="00F11E50" w:rsidRPr="00391A75">
        <w:t xml:space="preserve">активного </w:t>
      </w:r>
      <w:r w:rsidRPr="00391A75">
        <w:t xml:space="preserve">участия исходя из возможностей городского округа </w:t>
      </w:r>
      <w:r w:rsidR="00D018CD" w:rsidRPr="00391A75">
        <w:t xml:space="preserve">Кинешма </w:t>
      </w:r>
      <w:r w:rsidRPr="00391A75">
        <w:t xml:space="preserve">в реализации национальных (региональных) проектов, </w:t>
      </w:r>
      <w:r w:rsidRPr="00391A75">
        <w:lastRenderedPageBreak/>
        <w:t xml:space="preserve">государственных программ и мероприятий, </w:t>
      </w:r>
      <w:proofErr w:type="spellStart"/>
      <w:r w:rsidRPr="00391A75">
        <w:t>софинансируемых</w:t>
      </w:r>
      <w:proofErr w:type="spellEnd"/>
      <w:r w:rsidRPr="00391A75">
        <w:t xml:space="preserve"> из федерального бюджета и бюджета Ивановской области; привлечения средств федерального и областного бюджетов на территорию города с наиболее высокой долей софинансирования из федерального и областного бюджетов;</w:t>
      </w:r>
      <w:proofErr w:type="gramEnd"/>
    </w:p>
    <w:p w:rsidR="00340ECE" w:rsidRPr="00391A75" w:rsidRDefault="00340ECE" w:rsidP="00340ECE">
      <w:pPr>
        <w:widowControl w:val="0"/>
        <w:autoSpaceDE w:val="0"/>
        <w:autoSpaceDN w:val="0"/>
        <w:ind w:firstLine="567"/>
        <w:jc w:val="both"/>
      </w:pPr>
      <w:r w:rsidRPr="00391A75">
        <w:t xml:space="preserve">- получения финансового обеспечения переданных городскому округу </w:t>
      </w:r>
      <w:r w:rsidR="00D018CD" w:rsidRPr="00391A75">
        <w:t>Кинешма</w:t>
      </w:r>
      <w:r w:rsidRPr="00391A75">
        <w:t xml:space="preserve"> государственных полномочий в объемах, необходимых для их эффективного исполнения.</w:t>
      </w:r>
    </w:p>
    <w:p w:rsidR="00D018CD" w:rsidRPr="00391A75" w:rsidRDefault="00340ECE" w:rsidP="00D018CD">
      <w:pPr>
        <w:widowControl w:val="0"/>
        <w:autoSpaceDE w:val="0"/>
        <w:autoSpaceDN w:val="0"/>
        <w:ind w:firstLine="567"/>
        <w:jc w:val="both"/>
      </w:pPr>
      <w:proofErr w:type="gramStart"/>
      <w:r w:rsidRPr="00391A75">
        <w:t xml:space="preserve">В этих целях </w:t>
      </w:r>
      <w:r w:rsidR="00D140FE" w:rsidRPr="00391A75">
        <w:t xml:space="preserve">заместителями главы администрации городского округа Кинешма  </w:t>
      </w:r>
      <w:r w:rsidR="00CE0706" w:rsidRPr="00391A75">
        <w:t xml:space="preserve">должны быть приняты </w:t>
      </w:r>
      <w:r w:rsidR="00314745">
        <w:t>необходимые и достаточные</w:t>
      </w:r>
      <w:r w:rsidR="00CE0706" w:rsidRPr="00391A75">
        <w:t xml:space="preserve"> меры для</w:t>
      </w:r>
      <w:r w:rsidRPr="00391A75">
        <w:t xml:space="preserve"> обеспечен</w:t>
      </w:r>
      <w:r w:rsidR="00CE0706" w:rsidRPr="00391A75">
        <w:t>ия</w:t>
      </w:r>
      <w:r w:rsidRPr="00391A75">
        <w:t xml:space="preserve"> контрол</w:t>
      </w:r>
      <w:r w:rsidR="00CE0706" w:rsidRPr="00391A75">
        <w:t>я</w:t>
      </w:r>
      <w:r w:rsidRPr="00391A75">
        <w:t xml:space="preserve"> за соблюдением условий предоставления межбюджетных трансфертов </w:t>
      </w:r>
      <w:r w:rsidR="00D018CD" w:rsidRPr="00391A75">
        <w:t xml:space="preserve">из бюджетов вышестоящего уровня </w:t>
      </w:r>
      <w:r w:rsidR="00D140FE" w:rsidRPr="00391A75">
        <w:t xml:space="preserve">(по курируемым отраслям) </w:t>
      </w:r>
      <w:r w:rsidR="00D018CD" w:rsidRPr="00391A75">
        <w:t>и назначены лица из числа работников органов местного самоуправления и сотрудников муниципальных учреждений городского округа Кинешма, ответственные за реализацию заключаемых соглашений с профильными департаментами Ивановской области на предоставление</w:t>
      </w:r>
      <w:proofErr w:type="gramEnd"/>
      <w:r w:rsidR="00D018CD" w:rsidRPr="00391A75">
        <w:t xml:space="preserve"> целевых субсидий из вышестоящих бюджетов, </w:t>
      </w:r>
      <w:proofErr w:type="gramStart"/>
      <w:r w:rsidR="00314745">
        <w:t>направленные</w:t>
      </w:r>
      <w:proofErr w:type="gramEnd"/>
      <w:r w:rsidR="00314745">
        <w:t xml:space="preserve"> на</w:t>
      </w:r>
      <w:r w:rsidR="00D018CD" w:rsidRPr="00391A75">
        <w:t>:</w:t>
      </w:r>
    </w:p>
    <w:p w:rsidR="00D018CD" w:rsidRPr="00391A75" w:rsidRDefault="00D018CD" w:rsidP="00340ECE">
      <w:pPr>
        <w:widowControl w:val="0"/>
        <w:autoSpaceDE w:val="0"/>
        <w:autoSpaceDN w:val="0"/>
        <w:ind w:firstLine="567"/>
        <w:jc w:val="both"/>
      </w:pPr>
      <w:r w:rsidRPr="00391A75">
        <w:t>- освоение выделенных средств в полном объеме</w:t>
      </w:r>
      <w:r w:rsidR="00D140FE" w:rsidRPr="00391A75">
        <w:t xml:space="preserve"> при достижении целевых показателей и недопущение наложения штрафных санкций </w:t>
      </w:r>
      <w:proofErr w:type="gramStart"/>
      <w:r w:rsidR="00D140FE" w:rsidRPr="00391A75">
        <w:t>за</w:t>
      </w:r>
      <w:proofErr w:type="gramEnd"/>
      <w:r w:rsidR="00D140FE" w:rsidRPr="00391A75">
        <w:t xml:space="preserve"> </w:t>
      </w:r>
      <w:proofErr w:type="gramStart"/>
      <w:r w:rsidR="00D140FE" w:rsidRPr="00391A75">
        <w:t>их</w:t>
      </w:r>
      <w:proofErr w:type="gramEnd"/>
      <w:r w:rsidR="00D140FE" w:rsidRPr="00391A75">
        <w:t xml:space="preserve"> </w:t>
      </w:r>
      <w:proofErr w:type="spellStart"/>
      <w:r w:rsidR="00D140FE" w:rsidRPr="00391A75">
        <w:t>недостижение</w:t>
      </w:r>
      <w:proofErr w:type="spellEnd"/>
      <w:r w:rsidRPr="00391A75">
        <w:t>;</w:t>
      </w:r>
      <w:r w:rsidR="00D140FE" w:rsidRPr="00391A75">
        <w:t xml:space="preserve"> </w:t>
      </w:r>
    </w:p>
    <w:p w:rsidR="00D018CD" w:rsidRPr="00391A75" w:rsidRDefault="00D018CD" w:rsidP="00340ECE">
      <w:pPr>
        <w:widowControl w:val="0"/>
        <w:autoSpaceDE w:val="0"/>
        <w:autoSpaceDN w:val="0"/>
        <w:ind w:firstLine="567"/>
        <w:jc w:val="both"/>
      </w:pPr>
      <w:r w:rsidRPr="00391A75">
        <w:t>- соблюдение графиков 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строительства;</w:t>
      </w:r>
    </w:p>
    <w:p w:rsidR="00D140FE" w:rsidRPr="00391A75" w:rsidRDefault="00D140FE" w:rsidP="00D140FE">
      <w:pPr>
        <w:widowControl w:val="0"/>
        <w:autoSpaceDE w:val="0"/>
        <w:autoSpaceDN w:val="0"/>
        <w:ind w:firstLine="567"/>
        <w:jc w:val="both"/>
      </w:pPr>
      <w:r w:rsidRPr="00391A75">
        <w:t>- недопущение нецелевого и неэффективного использования средств;</w:t>
      </w:r>
    </w:p>
    <w:p w:rsidR="00D018CD" w:rsidRPr="00391A75" w:rsidRDefault="00D018CD" w:rsidP="00D018CD">
      <w:pPr>
        <w:widowControl w:val="0"/>
        <w:autoSpaceDE w:val="0"/>
        <w:autoSpaceDN w:val="0"/>
        <w:ind w:firstLine="567"/>
        <w:jc w:val="both"/>
      </w:pPr>
      <w:r w:rsidRPr="00391A75">
        <w:t>- своевременное и в полном объеме предоставление отчетности в соответствии с условиями соглашений;</w:t>
      </w:r>
    </w:p>
    <w:p w:rsidR="00D018CD" w:rsidRPr="00391A75" w:rsidRDefault="00D018CD" w:rsidP="00D018CD">
      <w:pPr>
        <w:widowControl w:val="0"/>
        <w:autoSpaceDE w:val="0"/>
        <w:autoSpaceDN w:val="0"/>
        <w:ind w:firstLine="567"/>
        <w:jc w:val="both"/>
      </w:pPr>
      <w:r w:rsidRPr="00391A75">
        <w:t xml:space="preserve">- гибкое реагирование на изменение законодательных норм в сфере </w:t>
      </w:r>
      <w:r w:rsidR="00D140FE" w:rsidRPr="00391A75">
        <w:t>межбюджетных отношений и контрактной системы в сфере закупок;</w:t>
      </w:r>
    </w:p>
    <w:p w:rsidR="00391A75" w:rsidRDefault="00D140FE" w:rsidP="00D018CD">
      <w:pPr>
        <w:widowControl w:val="0"/>
        <w:autoSpaceDE w:val="0"/>
        <w:autoSpaceDN w:val="0"/>
        <w:ind w:firstLine="567"/>
        <w:jc w:val="both"/>
      </w:pPr>
      <w:r w:rsidRPr="00391A75">
        <w:t xml:space="preserve">- </w:t>
      </w:r>
      <w:proofErr w:type="gramStart"/>
      <w:r w:rsidR="00176BD6" w:rsidRPr="00391A75">
        <w:t>контроль за</w:t>
      </w:r>
      <w:proofErr w:type="gramEnd"/>
      <w:r w:rsidR="00176BD6" w:rsidRPr="00391A75">
        <w:t xml:space="preserve"> соблюдением подрядчиками условий </w:t>
      </w:r>
      <w:r w:rsidR="00CE0706" w:rsidRPr="00391A75">
        <w:t xml:space="preserve">контрактов и договоров, </w:t>
      </w:r>
      <w:r w:rsidR="00176BD6" w:rsidRPr="00391A75">
        <w:t>заключенных с целью реализации соглашений</w:t>
      </w:r>
      <w:r w:rsidR="00CE0706" w:rsidRPr="00391A75">
        <w:t>: контроль сроков выполнения работ, их качества, полноты, соответствия ПСД</w:t>
      </w:r>
      <w:r w:rsidR="008C17D8">
        <w:t>.</w:t>
      </w:r>
    </w:p>
    <w:p w:rsidR="00391A75" w:rsidRPr="00314745" w:rsidRDefault="00314745" w:rsidP="00D018CD">
      <w:pPr>
        <w:widowControl w:val="0"/>
        <w:autoSpaceDE w:val="0"/>
        <w:autoSpaceDN w:val="0"/>
        <w:ind w:firstLine="567"/>
        <w:jc w:val="both"/>
      </w:pPr>
      <w:r>
        <w:t>С</w:t>
      </w:r>
      <w:r w:rsidR="00391A75" w:rsidRPr="00314745">
        <w:t xml:space="preserve"> целью </w:t>
      </w:r>
      <w:r w:rsidR="00E117D4" w:rsidRPr="00314745">
        <w:t xml:space="preserve">необходимости создания условий для максимального привлечения целевых </w:t>
      </w:r>
      <w:r>
        <w:t>межбюджетных трансфертов</w:t>
      </w:r>
      <w:r w:rsidR="00E117D4" w:rsidRPr="00314745">
        <w:t xml:space="preserve"> в бюджет города </w:t>
      </w:r>
      <w:r w:rsidRPr="00314745">
        <w:t xml:space="preserve">необходимо предусмотреть средства для обеспечения софинансирования </w:t>
      </w:r>
      <w:r w:rsidR="00E117D4" w:rsidRPr="00314745">
        <w:t xml:space="preserve">в рамках </w:t>
      </w:r>
      <w:r w:rsidR="00391A75" w:rsidRPr="00314745">
        <w:t xml:space="preserve">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</w:r>
      <w:proofErr w:type="gramStart"/>
      <w:r w:rsidR="00391A75" w:rsidRPr="00314745">
        <w:t>входящих</w:t>
      </w:r>
      <w:proofErr w:type="gramEnd"/>
      <w:r w:rsidR="00391A75" w:rsidRPr="00314745">
        <w:t xml:space="preserve"> в том числе в состав соответствующих национальных проектов (программ)</w:t>
      </w:r>
      <w:r w:rsidR="00E117D4" w:rsidRPr="00314745">
        <w:t xml:space="preserve">. </w:t>
      </w:r>
    </w:p>
    <w:p w:rsidR="00E90E1F" w:rsidRDefault="00222D59" w:rsidP="00E90E1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1003"/>
      <w:r>
        <w:rPr>
          <w:rFonts w:ascii="Times New Roman" w:hAnsi="Times New Roman" w:cs="Times New Roman"/>
          <w:sz w:val="28"/>
          <w:szCs w:val="28"/>
        </w:rPr>
        <w:t>4</w:t>
      </w:r>
      <w:r w:rsidR="00E90E1F" w:rsidRPr="004F2E99">
        <w:rPr>
          <w:rFonts w:ascii="Times New Roman" w:hAnsi="Times New Roman" w:cs="Times New Roman"/>
          <w:sz w:val="28"/>
          <w:szCs w:val="28"/>
        </w:rPr>
        <w:t>. Бюджетная политика в области расходов</w:t>
      </w:r>
    </w:p>
    <w:p w:rsidR="00E15C26" w:rsidRPr="00E15C26" w:rsidRDefault="009C49CB" w:rsidP="00E15C26">
      <w:pPr>
        <w:shd w:val="clear" w:color="auto" w:fill="FFFFFF"/>
        <w:ind w:firstLine="708"/>
        <w:jc w:val="both"/>
        <w:rPr>
          <w:sz w:val="27"/>
          <w:szCs w:val="27"/>
        </w:rPr>
      </w:pPr>
      <w:r w:rsidRPr="009C49CB">
        <w:rPr>
          <w:sz w:val="27"/>
          <w:szCs w:val="27"/>
        </w:rPr>
        <w:t xml:space="preserve">Основные направления </w:t>
      </w:r>
      <w:r w:rsidR="00E15C26" w:rsidRPr="00E15C26">
        <w:rPr>
          <w:sz w:val="27"/>
          <w:szCs w:val="27"/>
        </w:rPr>
        <w:t xml:space="preserve">бюджетной </w:t>
      </w:r>
      <w:r w:rsidRPr="009C49CB">
        <w:rPr>
          <w:sz w:val="27"/>
          <w:szCs w:val="27"/>
        </w:rPr>
        <w:t>политики в части расходования бюджетных средств определены с учетом дальнейшей последовательной реализации целей и задач, поставленных в 202</w:t>
      </w:r>
      <w:r w:rsidR="00E15C26" w:rsidRPr="00E15C26">
        <w:rPr>
          <w:sz w:val="27"/>
          <w:szCs w:val="27"/>
        </w:rPr>
        <w:t>3</w:t>
      </w:r>
      <w:r w:rsidRPr="009C49CB">
        <w:rPr>
          <w:sz w:val="27"/>
          <w:szCs w:val="27"/>
        </w:rPr>
        <w:t xml:space="preserve"> году.</w:t>
      </w:r>
    </w:p>
    <w:p w:rsidR="00A14229" w:rsidRDefault="009C49CB" w:rsidP="00E15C26">
      <w:pPr>
        <w:shd w:val="clear" w:color="auto" w:fill="FFFFFF"/>
        <w:ind w:firstLine="708"/>
        <w:jc w:val="both"/>
        <w:rPr>
          <w:sz w:val="27"/>
          <w:szCs w:val="27"/>
        </w:rPr>
      </w:pPr>
      <w:r w:rsidRPr="009C49CB">
        <w:rPr>
          <w:sz w:val="27"/>
          <w:szCs w:val="27"/>
        </w:rPr>
        <w:lastRenderedPageBreak/>
        <w:t xml:space="preserve">Проводимую </w:t>
      </w:r>
      <w:r w:rsidR="00E15C26" w:rsidRPr="00E15C26">
        <w:rPr>
          <w:sz w:val="27"/>
          <w:szCs w:val="27"/>
        </w:rPr>
        <w:t xml:space="preserve">бюджетную </w:t>
      </w:r>
      <w:r w:rsidRPr="009C49CB">
        <w:rPr>
          <w:sz w:val="27"/>
          <w:szCs w:val="27"/>
        </w:rPr>
        <w:t xml:space="preserve">политику определяет </w:t>
      </w:r>
      <w:r w:rsidR="00A14229">
        <w:rPr>
          <w:sz w:val="27"/>
          <w:szCs w:val="27"/>
        </w:rPr>
        <w:t xml:space="preserve">фактор </w:t>
      </w:r>
      <w:r w:rsidRPr="009C49CB">
        <w:rPr>
          <w:sz w:val="27"/>
          <w:szCs w:val="27"/>
        </w:rPr>
        <w:t>ограниченност</w:t>
      </w:r>
      <w:r w:rsidR="00A14229">
        <w:rPr>
          <w:sz w:val="27"/>
          <w:szCs w:val="27"/>
        </w:rPr>
        <w:t>и</w:t>
      </w:r>
      <w:r w:rsidRPr="009C49CB">
        <w:rPr>
          <w:sz w:val="27"/>
          <w:szCs w:val="27"/>
        </w:rPr>
        <w:t xml:space="preserve"> собственных финансовых ресурсов в предстоящем периоде</w:t>
      </w:r>
      <w:r w:rsidR="00E15C26" w:rsidRPr="00E15C26">
        <w:rPr>
          <w:sz w:val="27"/>
          <w:szCs w:val="27"/>
        </w:rPr>
        <w:t xml:space="preserve">. </w:t>
      </w:r>
      <w:r w:rsidRPr="009C49CB">
        <w:rPr>
          <w:sz w:val="27"/>
          <w:szCs w:val="27"/>
        </w:rPr>
        <w:t>В данных условиях необходимо еще более взвешен</w:t>
      </w:r>
      <w:r w:rsidR="00A14229">
        <w:rPr>
          <w:sz w:val="27"/>
          <w:szCs w:val="27"/>
        </w:rPr>
        <w:t>н</w:t>
      </w:r>
      <w:r w:rsidRPr="009C49CB">
        <w:rPr>
          <w:sz w:val="27"/>
          <w:szCs w:val="27"/>
        </w:rPr>
        <w:t>о подходить к расходованию бюджетных средств, сосредоточив бюджетные ресурсы на приоритетных направлениях (реализация приоритетных направлений социально-экономической политики, сохранение мер социальной поддержки граждан, которые действовали в предшествующие годы, формирование комфортных условий проживания жителей). Ключевыми требованиями к формированию расходов должны быть их рациональность, эффективность, обеспечение максимальной отдачи и достижение целей</w:t>
      </w:r>
      <w:r w:rsidR="00A14229">
        <w:rPr>
          <w:sz w:val="27"/>
          <w:szCs w:val="27"/>
        </w:rPr>
        <w:t xml:space="preserve"> муниципальных программ</w:t>
      </w:r>
      <w:r w:rsidRPr="009C49CB">
        <w:rPr>
          <w:sz w:val="27"/>
          <w:szCs w:val="27"/>
        </w:rPr>
        <w:t xml:space="preserve">. </w:t>
      </w:r>
    </w:p>
    <w:p w:rsidR="009C49CB" w:rsidRPr="009C49CB" w:rsidRDefault="00A14229" w:rsidP="00E15C26">
      <w:pPr>
        <w:shd w:val="clear" w:color="auto" w:fill="FFFFFF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</w:t>
      </w:r>
      <w:r w:rsidR="009C49CB" w:rsidRPr="009C49CB">
        <w:rPr>
          <w:sz w:val="27"/>
          <w:szCs w:val="27"/>
        </w:rPr>
        <w:t>допускать увеличения действующих и принятие новых расходных обязательств, не обеспеченных финансовыми ресурсами. При отсутствии доходных источников - изыскивать возможность обеспечения дополнительных расходов за счет внутреннего перераспределения средств.</w:t>
      </w:r>
    </w:p>
    <w:bookmarkEnd w:id="2"/>
    <w:p w:rsidR="00267E7A" w:rsidRPr="00EA7921" w:rsidRDefault="00267E7A" w:rsidP="00267E7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EA7921">
        <w:rPr>
          <w:rFonts w:eastAsiaTheme="minorHAnsi"/>
          <w:lang w:eastAsia="en-US"/>
        </w:rPr>
        <w:t>Основными направлениями бюджетной политики городского округа Кинешма в области расходов бюджета определены:</w:t>
      </w:r>
    </w:p>
    <w:p w:rsidR="00267E7A" w:rsidRPr="00EA7921" w:rsidRDefault="00267E7A" w:rsidP="00267E7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EA7921">
        <w:rPr>
          <w:rFonts w:eastAsiaTheme="minorHAnsi"/>
          <w:lang w:eastAsia="en-US"/>
        </w:rPr>
        <w:t>- формирование основных бюджетных параметров исходя из ожидаемого прогноза поступления доходов и допустимого уровня дефицита бюджета, а также необходимости исполнения действующих расходных обязательств городского округа Кинешма, с учетом их оптимизации и повышения эффективности использования финансовых ресурсов;</w:t>
      </w:r>
    </w:p>
    <w:p w:rsidR="00267E7A" w:rsidRPr="00EA7921" w:rsidRDefault="00267E7A" w:rsidP="00267E7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proofErr w:type="gramStart"/>
      <w:r w:rsidRPr="00EA7921">
        <w:rPr>
          <w:rFonts w:eastAsiaTheme="minorHAnsi"/>
          <w:lang w:eastAsia="en-US"/>
        </w:rPr>
        <w:t>- формирование муниципальных заданий на оказание муниципальных услуг (выполнение работ) в соответствии с перечнем услуг, утвержденным федеральными органами исполнительной власти</w:t>
      </w:r>
      <w:r w:rsidR="00E51F54">
        <w:rPr>
          <w:rFonts w:eastAsiaTheme="minorHAnsi"/>
          <w:lang w:eastAsia="en-US"/>
        </w:rPr>
        <w:t xml:space="preserve"> в пределах предусмотренных бюджетом средств</w:t>
      </w:r>
      <w:r w:rsidRPr="00EA7921">
        <w:rPr>
          <w:rFonts w:eastAsiaTheme="minorHAnsi"/>
          <w:lang w:eastAsia="en-US"/>
        </w:rPr>
        <w:t>, а также усиление контроля и ответственности главных распорядителей бюджетных средств городского округа Кинешма за выполнение</w:t>
      </w:r>
      <w:r w:rsidR="002621D3">
        <w:rPr>
          <w:rFonts w:eastAsiaTheme="minorHAnsi"/>
          <w:lang w:eastAsia="en-US"/>
        </w:rPr>
        <w:t>м</w:t>
      </w:r>
      <w:r w:rsidRPr="00EA7921">
        <w:rPr>
          <w:rFonts w:eastAsiaTheme="minorHAnsi"/>
          <w:lang w:eastAsia="en-US"/>
        </w:rPr>
        <w:t xml:space="preserve"> муниципальных заданий</w:t>
      </w:r>
      <w:r w:rsidR="008F6554">
        <w:rPr>
          <w:rFonts w:eastAsiaTheme="minorHAnsi"/>
          <w:lang w:eastAsia="en-US"/>
        </w:rPr>
        <w:t>, их увязкой с целевыми индикаторами муниципальных программ</w:t>
      </w:r>
      <w:r w:rsidRPr="00EA7921">
        <w:rPr>
          <w:rFonts w:eastAsiaTheme="minorHAnsi"/>
          <w:lang w:eastAsia="en-US"/>
        </w:rPr>
        <w:t>;</w:t>
      </w:r>
      <w:proofErr w:type="gramEnd"/>
    </w:p>
    <w:p w:rsidR="00267E7A" w:rsidRPr="0008008A" w:rsidRDefault="00267E7A" w:rsidP="00267E7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08008A">
        <w:rPr>
          <w:rFonts w:eastAsiaTheme="minorHAnsi"/>
          <w:lang w:eastAsia="en-US"/>
        </w:rPr>
        <w:t xml:space="preserve">- сохранение уровня средней заработной платы работников муниципальных учреждений образования и культуры городского округа Кинешма на уровне показателей, установленных майскими указами Президента Российской Федерации, в том числе в зависимости от качества </w:t>
      </w:r>
      <w:r w:rsidR="00F325D5">
        <w:rPr>
          <w:rFonts w:eastAsiaTheme="minorHAnsi"/>
          <w:lang w:eastAsia="en-US"/>
        </w:rPr>
        <w:t>и количества выполняемой работы, а также с учетом установленного</w:t>
      </w:r>
      <w:r w:rsidRPr="0008008A">
        <w:rPr>
          <w:rFonts w:eastAsiaTheme="minorHAnsi"/>
          <w:lang w:eastAsia="en-US"/>
        </w:rPr>
        <w:t xml:space="preserve"> </w:t>
      </w:r>
      <w:r w:rsidR="00F325D5">
        <w:rPr>
          <w:rFonts w:eastAsiaTheme="minorHAnsi"/>
          <w:lang w:eastAsia="en-US"/>
        </w:rPr>
        <w:t>уровня</w:t>
      </w:r>
      <w:r w:rsidRPr="0008008A">
        <w:rPr>
          <w:rFonts w:eastAsiaTheme="minorHAnsi"/>
          <w:lang w:eastAsia="en-US"/>
        </w:rPr>
        <w:t xml:space="preserve"> минимально</w:t>
      </w:r>
      <w:r w:rsidR="00F325D5">
        <w:rPr>
          <w:rFonts w:eastAsiaTheme="minorHAnsi"/>
          <w:lang w:eastAsia="en-US"/>
        </w:rPr>
        <w:t>го</w:t>
      </w:r>
      <w:r w:rsidRPr="0008008A">
        <w:rPr>
          <w:rFonts w:eastAsiaTheme="minorHAnsi"/>
          <w:lang w:eastAsia="en-US"/>
        </w:rPr>
        <w:t xml:space="preserve"> </w:t>
      </w:r>
      <w:proofErr w:type="gramStart"/>
      <w:r w:rsidRPr="0008008A">
        <w:rPr>
          <w:rFonts w:eastAsiaTheme="minorHAnsi"/>
          <w:lang w:eastAsia="en-US"/>
        </w:rPr>
        <w:t>размер</w:t>
      </w:r>
      <w:r w:rsidR="00F325D5">
        <w:rPr>
          <w:rFonts w:eastAsiaTheme="minorHAnsi"/>
          <w:lang w:eastAsia="en-US"/>
        </w:rPr>
        <w:t>а</w:t>
      </w:r>
      <w:r w:rsidRPr="0008008A">
        <w:rPr>
          <w:rFonts w:eastAsiaTheme="minorHAnsi"/>
          <w:lang w:eastAsia="en-US"/>
        </w:rPr>
        <w:t xml:space="preserve"> оплаты труда</w:t>
      </w:r>
      <w:proofErr w:type="gramEnd"/>
      <w:r w:rsidRPr="0008008A">
        <w:rPr>
          <w:rFonts w:eastAsiaTheme="minorHAnsi"/>
          <w:lang w:eastAsia="en-US"/>
        </w:rPr>
        <w:t>;</w:t>
      </w:r>
    </w:p>
    <w:p w:rsidR="0008008A" w:rsidRPr="0008008A" w:rsidRDefault="00267E7A" w:rsidP="00267E7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08008A">
        <w:rPr>
          <w:rFonts w:eastAsiaTheme="minorHAnsi"/>
          <w:lang w:eastAsia="en-US"/>
        </w:rPr>
        <w:t>- осуществление закупок товаров, работ, услуг для обеспечения муниципальных нужд конкурентными способами, обеспечивающими наименьшие затраты при сохранении качественных характеристик приобретаемых товаров, работ, услуг</w:t>
      </w:r>
      <w:r w:rsidR="006000E7" w:rsidRPr="0008008A">
        <w:rPr>
          <w:rFonts w:eastAsiaTheme="minorHAnsi"/>
          <w:lang w:eastAsia="en-US"/>
        </w:rPr>
        <w:t>.</w:t>
      </w:r>
    </w:p>
    <w:p w:rsidR="00A14229" w:rsidRDefault="00A14229" w:rsidP="00267E7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F325D5">
        <w:rPr>
          <w:sz w:val="27"/>
          <w:szCs w:val="27"/>
        </w:rPr>
        <w:t>- развитие инициативного бюджетирования</w:t>
      </w:r>
      <w:r>
        <w:rPr>
          <w:sz w:val="27"/>
          <w:szCs w:val="27"/>
        </w:rPr>
        <w:t xml:space="preserve"> посредством привлечения граждан </w:t>
      </w:r>
      <w:r w:rsidR="004967FC">
        <w:rPr>
          <w:sz w:val="27"/>
          <w:szCs w:val="27"/>
        </w:rPr>
        <w:t xml:space="preserve">и их объединений </w:t>
      </w:r>
      <w:r>
        <w:rPr>
          <w:sz w:val="27"/>
          <w:szCs w:val="27"/>
        </w:rPr>
        <w:t>к участию в реализации проектов благоустройства</w:t>
      </w:r>
      <w:r w:rsidR="00F325D5">
        <w:rPr>
          <w:sz w:val="27"/>
          <w:szCs w:val="27"/>
        </w:rPr>
        <w:t xml:space="preserve"> территорий, основанных на местных инициативах;</w:t>
      </w:r>
      <w:r w:rsidRPr="00E15C26">
        <w:rPr>
          <w:sz w:val="27"/>
          <w:szCs w:val="27"/>
        </w:rPr>
        <w:t xml:space="preserve"> </w:t>
      </w:r>
    </w:p>
    <w:p w:rsidR="00267E7A" w:rsidRPr="0008008A" w:rsidRDefault="00A14229" w:rsidP="00267E7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267E7A" w:rsidRPr="0008008A">
        <w:rPr>
          <w:rFonts w:eastAsiaTheme="minorHAnsi"/>
          <w:lang w:eastAsia="en-US"/>
        </w:rPr>
        <w:t xml:space="preserve"> обеспечени</w:t>
      </w:r>
      <w:r>
        <w:rPr>
          <w:rFonts w:eastAsiaTheme="minorHAnsi"/>
          <w:lang w:eastAsia="en-US"/>
        </w:rPr>
        <w:t>е высокого рейтинга</w:t>
      </w:r>
      <w:r w:rsidR="00267E7A" w:rsidRPr="0008008A">
        <w:rPr>
          <w:rFonts w:eastAsiaTheme="minorHAnsi"/>
          <w:lang w:eastAsia="en-US"/>
        </w:rPr>
        <w:t xml:space="preserve"> открытости бюджетн</w:t>
      </w:r>
      <w:r>
        <w:rPr>
          <w:rFonts w:eastAsiaTheme="minorHAnsi"/>
          <w:lang w:eastAsia="en-US"/>
        </w:rPr>
        <w:t>ых данных</w:t>
      </w:r>
      <w:r w:rsidR="00267E7A" w:rsidRPr="0008008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посредством </w:t>
      </w:r>
      <w:r w:rsidR="00267E7A" w:rsidRPr="0008008A">
        <w:rPr>
          <w:rFonts w:eastAsiaTheme="minorHAnsi"/>
          <w:lang w:eastAsia="en-US"/>
        </w:rPr>
        <w:t>размещени</w:t>
      </w:r>
      <w:r>
        <w:rPr>
          <w:rFonts w:eastAsiaTheme="minorHAnsi"/>
          <w:lang w:eastAsia="en-US"/>
        </w:rPr>
        <w:t>я информации о бюджете</w:t>
      </w:r>
      <w:r w:rsidR="00267E7A" w:rsidRPr="0008008A">
        <w:rPr>
          <w:rFonts w:eastAsiaTheme="minorHAnsi"/>
          <w:lang w:eastAsia="en-US"/>
        </w:rPr>
        <w:t xml:space="preserve"> на едином портале бюджетной системы Российской Федерации, на официальном сайте </w:t>
      </w:r>
      <w:r w:rsidR="006000E7" w:rsidRPr="0008008A">
        <w:rPr>
          <w:rFonts w:eastAsiaTheme="minorHAnsi"/>
          <w:lang w:eastAsia="en-US"/>
        </w:rPr>
        <w:t xml:space="preserve">финансового управления </w:t>
      </w:r>
      <w:r w:rsidR="00267E7A" w:rsidRPr="0008008A">
        <w:rPr>
          <w:rFonts w:eastAsiaTheme="minorHAnsi"/>
          <w:lang w:eastAsia="en-US"/>
        </w:rPr>
        <w:t xml:space="preserve">администрации городского округа </w:t>
      </w:r>
      <w:r w:rsidR="002621D3">
        <w:rPr>
          <w:rFonts w:eastAsiaTheme="minorHAnsi"/>
          <w:lang w:eastAsia="en-US"/>
        </w:rPr>
        <w:t xml:space="preserve">в разделе «Бюджет для граждан» </w:t>
      </w:r>
      <w:r w:rsidR="006000E7" w:rsidRPr="0008008A">
        <w:rPr>
          <w:rFonts w:eastAsiaTheme="minorHAnsi"/>
          <w:lang w:eastAsia="en-US"/>
        </w:rPr>
        <w:t>и в социальных сетях</w:t>
      </w:r>
      <w:r w:rsidR="002621D3">
        <w:rPr>
          <w:rFonts w:eastAsiaTheme="minorHAnsi"/>
          <w:lang w:eastAsia="en-US"/>
        </w:rPr>
        <w:t>.</w:t>
      </w:r>
    </w:p>
    <w:p w:rsidR="00945BF8" w:rsidRDefault="00BC46EE" w:rsidP="00C72B77">
      <w:pPr>
        <w:ind w:firstLine="708"/>
        <w:jc w:val="both"/>
      </w:pPr>
      <w:r w:rsidRPr="001A3E6D">
        <w:lastRenderedPageBreak/>
        <w:t xml:space="preserve">Планирование расходов осуществляется в соответствии с Методикой планирования бюджетных ассигнований бюджета городского округа Кинешма на очередной финансовый год и плановый период. </w:t>
      </w:r>
      <w:proofErr w:type="gramStart"/>
      <w:r w:rsidRPr="001A3E6D">
        <w:t>Как и в предыдущие годы, базовым инструментом для формирования объемов действующих расходных обязательств бюджета городского округа Кинешма на предстоящую трехлетку являются финансовые показатели текущего  года</w:t>
      </w:r>
      <w:r w:rsidR="0008008A" w:rsidRPr="001A3E6D">
        <w:t xml:space="preserve"> (</w:t>
      </w:r>
      <w:r w:rsidR="008C04C2" w:rsidRPr="001A3E6D">
        <w:t>по состоянию на 01.08.202</w:t>
      </w:r>
      <w:r w:rsidR="00B6296D">
        <w:t>3</w:t>
      </w:r>
      <w:r w:rsidR="008C04C2" w:rsidRPr="001A3E6D">
        <w:t>)</w:t>
      </w:r>
      <w:r w:rsidR="00C1740C">
        <w:t>;</w:t>
      </w:r>
      <w:r w:rsidRPr="001A3E6D">
        <w:t xml:space="preserve"> при этом указанные показатели уменьшаются на суммы расходов, производимых в соответствии с разовыми решениями (расходов по реализации решений, срок действия которых ограничен).</w:t>
      </w:r>
      <w:proofErr w:type="gramEnd"/>
    </w:p>
    <w:p w:rsidR="00BC46EE" w:rsidRPr="008C04C2" w:rsidRDefault="00BC46EE" w:rsidP="00BC46EE">
      <w:pPr>
        <w:widowControl w:val="0"/>
        <w:autoSpaceDE w:val="0"/>
        <w:autoSpaceDN w:val="0"/>
        <w:adjustRightInd w:val="0"/>
        <w:ind w:firstLine="709"/>
        <w:jc w:val="both"/>
      </w:pPr>
      <w:r w:rsidRPr="008C04C2">
        <w:t xml:space="preserve">Основными </w:t>
      </w:r>
      <w:r w:rsidR="002621D3">
        <w:t>принципами</w:t>
      </w:r>
      <w:r w:rsidRPr="008C04C2">
        <w:t xml:space="preserve"> в области планирования </w:t>
      </w:r>
      <w:r w:rsidR="002621D3">
        <w:t xml:space="preserve">и исполнения </w:t>
      </w:r>
      <w:r w:rsidRPr="008C04C2">
        <w:t>расход</w:t>
      </w:r>
      <w:r w:rsidR="002621D3">
        <w:t xml:space="preserve">ной части бюджета </w:t>
      </w:r>
      <w:r w:rsidRPr="008C04C2">
        <w:t xml:space="preserve"> на 202</w:t>
      </w:r>
      <w:r w:rsidR="00B6296D">
        <w:t>4</w:t>
      </w:r>
      <w:r w:rsidRPr="008C04C2">
        <w:t>-202</w:t>
      </w:r>
      <w:r w:rsidR="002621D3">
        <w:t>6</w:t>
      </w:r>
      <w:r w:rsidRPr="008C04C2">
        <w:t xml:space="preserve"> годы определены:</w:t>
      </w:r>
    </w:p>
    <w:p w:rsidR="00BC46EE" w:rsidRPr="008C04C2" w:rsidRDefault="00BC46EE" w:rsidP="00BC46EE">
      <w:pPr>
        <w:ind w:firstLine="705"/>
        <w:jc w:val="both"/>
      </w:pPr>
      <w:r w:rsidRPr="008C04C2">
        <w:t xml:space="preserve">1. Формирование фонда оплаты труда (далее – ФОТ) исходя из </w:t>
      </w:r>
      <w:r w:rsidRPr="008C17D8">
        <w:t>штатной численности</w:t>
      </w:r>
      <w:r w:rsidRPr="008C04C2">
        <w:t xml:space="preserve"> работников муниципальных учреждений текущего года,</w:t>
      </w:r>
      <w:r w:rsidR="004B02A4">
        <w:t xml:space="preserve"> </w:t>
      </w:r>
      <w:r w:rsidRPr="008C04C2">
        <w:t>положений действующего трудового законодательства, положений об оплате труда,</w:t>
      </w:r>
      <w:r w:rsidR="001B1230">
        <w:t xml:space="preserve"> анализа среднесписочной численности по состоянию на 01.08.202</w:t>
      </w:r>
      <w:r w:rsidR="00D448D2">
        <w:t>3</w:t>
      </w:r>
      <w:r w:rsidR="001B1230">
        <w:t>,</w:t>
      </w:r>
      <w:r w:rsidRPr="008C04C2">
        <w:t xml:space="preserve"> а также:</w:t>
      </w:r>
    </w:p>
    <w:p w:rsidR="00304BE7" w:rsidRPr="009843CA" w:rsidRDefault="00BC46EE" w:rsidP="00BC46EE">
      <w:pPr>
        <w:ind w:firstLine="705"/>
        <w:jc w:val="both"/>
      </w:pPr>
      <w:r w:rsidRPr="001A3E6D">
        <w:t xml:space="preserve"> </w:t>
      </w:r>
      <w:proofErr w:type="gramStart"/>
      <w:r w:rsidRPr="009843CA">
        <w:t xml:space="preserve">с учетом </w:t>
      </w:r>
      <w:r w:rsidR="00FC4C72">
        <w:t>планируемого</w:t>
      </w:r>
      <w:r w:rsidR="00E51F54" w:rsidRPr="009843CA">
        <w:t xml:space="preserve"> </w:t>
      </w:r>
      <w:r w:rsidRPr="009843CA">
        <w:t>минимального размера оплаты труда</w:t>
      </w:r>
      <w:r w:rsidR="00B6296D">
        <w:t xml:space="preserve"> (далее</w:t>
      </w:r>
      <w:r w:rsidR="008C17D8">
        <w:t xml:space="preserve"> </w:t>
      </w:r>
      <w:r w:rsidR="00B6296D">
        <w:t>- МРОТ)</w:t>
      </w:r>
      <w:r w:rsidR="00FC4C72">
        <w:t xml:space="preserve"> на уровне 19</w:t>
      </w:r>
      <w:r w:rsidR="008F6554">
        <w:t xml:space="preserve"> </w:t>
      </w:r>
      <w:r w:rsidR="00FC4C72">
        <w:t>242 руб.</w:t>
      </w:r>
      <w:r w:rsidRPr="009843CA">
        <w:t>,</w:t>
      </w:r>
      <w:r w:rsidR="00E51F54" w:rsidRPr="009843CA">
        <w:t xml:space="preserve"> </w:t>
      </w:r>
      <w:r w:rsidR="00304BE7" w:rsidRPr="009843CA">
        <w:t>размеров минимальных окладов (минимальных должностных окладов) по профессиональным квалификационным группам и квалификационным уровням, установленны</w:t>
      </w:r>
      <w:r w:rsidR="009843CA" w:rsidRPr="009843CA">
        <w:t>х</w:t>
      </w:r>
      <w:r w:rsidR="00304BE7" w:rsidRPr="009843CA">
        <w:t xml:space="preserve"> в типовых положениях об оплате труда работников муниципальных учреждений городского округа Кинешма по видам экономической деятельности, утвержденных постановлениями администрации городского округа Кинешма о системах оплат</w:t>
      </w:r>
      <w:r w:rsidR="009843CA" w:rsidRPr="009843CA">
        <w:t>ы</w:t>
      </w:r>
      <w:r w:rsidR="00304BE7" w:rsidRPr="009843CA">
        <w:t xml:space="preserve"> труда работников муниципальных учреждений городского округа Кинешма</w:t>
      </w:r>
      <w:proofErr w:type="gramEnd"/>
      <w:r w:rsidR="00A35A08" w:rsidRPr="009843CA">
        <w:t xml:space="preserve">, </w:t>
      </w:r>
      <w:r w:rsidR="00A35A08" w:rsidRPr="00FD4315">
        <w:t>проиндексированных с 01.10.202</w:t>
      </w:r>
      <w:r w:rsidR="00D448D2" w:rsidRPr="00FD4315">
        <w:t>3</w:t>
      </w:r>
      <w:r w:rsidR="00A35A08" w:rsidRPr="00FD4315">
        <w:t xml:space="preserve"> на </w:t>
      </w:r>
      <w:r w:rsidR="00B6296D" w:rsidRPr="00FD4315">
        <w:t>9,1</w:t>
      </w:r>
      <w:r w:rsidR="00A35A08" w:rsidRPr="00FD4315">
        <w:t xml:space="preserve"> %</w:t>
      </w:r>
      <w:r w:rsidR="00304BE7" w:rsidRPr="00FD4315">
        <w:t>;</w:t>
      </w:r>
    </w:p>
    <w:p w:rsidR="00BC46EE" w:rsidRPr="00B04718" w:rsidRDefault="00BC46EE" w:rsidP="00BC46EE">
      <w:pPr>
        <w:ind w:firstLine="705"/>
        <w:jc w:val="both"/>
      </w:pPr>
      <w:r w:rsidRPr="001A3E6D">
        <w:t xml:space="preserve">  без учета должностей, содержание которых полностью осуществляется за счет доходов от приносящей доход деятельности</w:t>
      </w:r>
      <w:r w:rsidR="007B326E">
        <w:t>.</w:t>
      </w:r>
    </w:p>
    <w:p w:rsidR="00BC46EE" w:rsidRDefault="00BC46EE" w:rsidP="00BC46EE">
      <w:pPr>
        <w:ind w:firstLine="705"/>
        <w:jc w:val="both"/>
      </w:pPr>
      <w:r w:rsidRPr="00B04718">
        <w:t xml:space="preserve">ФОТ младшего обслуживающего персонала формируется исходя из </w:t>
      </w:r>
      <w:r w:rsidR="008C17D8">
        <w:t>планируемого уровня</w:t>
      </w:r>
      <w:r w:rsidR="00B6296D">
        <w:t xml:space="preserve"> </w:t>
      </w:r>
      <w:r w:rsidR="00B6296D">
        <w:rPr>
          <w:szCs w:val="24"/>
        </w:rPr>
        <w:t>МРОТ</w:t>
      </w:r>
      <w:r w:rsidR="001A3E6D" w:rsidRPr="00B04718">
        <w:t>.</w:t>
      </w:r>
    </w:p>
    <w:p w:rsidR="00BC46EE" w:rsidRPr="00B04718" w:rsidRDefault="00BC46EE" w:rsidP="00BC46EE">
      <w:pPr>
        <w:pStyle w:val="a9"/>
        <w:numPr>
          <w:ilvl w:val="0"/>
          <w:numId w:val="13"/>
        </w:numPr>
        <w:ind w:left="0" w:firstLine="705"/>
        <w:jc w:val="both"/>
      </w:pPr>
      <w:r w:rsidRPr="00B04718">
        <w:t xml:space="preserve">ФОТ </w:t>
      </w:r>
      <w:r w:rsidRPr="00B04718">
        <w:rPr>
          <w:szCs w:val="24"/>
        </w:rPr>
        <w:t xml:space="preserve">отдельных категорий работников,  </w:t>
      </w:r>
      <w:r w:rsidRPr="00B04718">
        <w:t>средняя заработная плата которым доводится до</w:t>
      </w:r>
      <w:r w:rsidRPr="00B04718">
        <w:rPr>
          <w:szCs w:val="24"/>
        </w:rPr>
        <w:t xml:space="preserve"> средней заработной платы по Ивановской области, </w:t>
      </w:r>
      <w:r w:rsidR="00B04718" w:rsidRPr="00B04718">
        <w:rPr>
          <w:szCs w:val="24"/>
        </w:rPr>
        <w:t>формируется</w:t>
      </w:r>
      <w:r w:rsidRPr="00994A35">
        <w:rPr>
          <w:szCs w:val="24"/>
        </w:rPr>
        <w:t xml:space="preserve"> с учетом достижения целевого значения средней заработной </w:t>
      </w:r>
      <w:r w:rsidRPr="00D448D2">
        <w:rPr>
          <w:szCs w:val="24"/>
        </w:rPr>
        <w:t>платы</w:t>
      </w:r>
      <w:r w:rsidRPr="00363331">
        <w:rPr>
          <w:szCs w:val="24"/>
        </w:rPr>
        <w:t>,</w:t>
      </w:r>
      <w:r w:rsidRPr="00D448D2">
        <w:rPr>
          <w:szCs w:val="24"/>
        </w:rPr>
        <w:t xml:space="preserve"> в том</w:t>
      </w:r>
      <w:r w:rsidRPr="00994A35">
        <w:rPr>
          <w:szCs w:val="24"/>
        </w:rPr>
        <w:t xml:space="preserve"> числе за счет планируемых к поступлению средств из областного бюджета </w:t>
      </w:r>
      <w:r w:rsidRPr="00B04718">
        <w:t>с учетом следующих особенностей:</w:t>
      </w:r>
    </w:p>
    <w:p w:rsidR="00BC46EE" w:rsidRPr="007778C5" w:rsidRDefault="00BC46EE" w:rsidP="00BC46EE">
      <w:pPr>
        <w:pStyle w:val="a9"/>
        <w:ind w:left="0" w:firstLine="705"/>
        <w:jc w:val="both"/>
      </w:pPr>
      <w:r w:rsidRPr="007778C5">
        <w:t xml:space="preserve">2.1. ФОТ педагогических работников дополнительного образования и работников (тренеров) </w:t>
      </w:r>
      <w:r w:rsidRPr="007778C5">
        <w:rPr>
          <w:rFonts w:eastAsiaTheme="minorHAnsi"/>
          <w:lang w:eastAsia="en-US"/>
        </w:rPr>
        <w:t>учреждений спортивной подготовки</w:t>
      </w:r>
      <w:r w:rsidRPr="007778C5">
        <w:t xml:space="preserve">: </w:t>
      </w:r>
    </w:p>
    <w:p w:rsidR="00B04718" w:rsidRPr="007778C5" w:rsidRDefault="009935AC" w:rsidP="00BC46EE">
      <w:pPr>
        <w:pStyle w:val="a9"/>
        <w:ind w:left="0" w:firstLine="705"/>
        <w:jc w:val="both"/>
      </w:pPr>
      <w:r w:rsidRPr="007778C5">
        <w:t>- ФОТ основных педагогических работников формируется исходя их тарификационных списков в пересчете на ставки с учетом специфики отрасли</w:t>
      </w:r>
      <w:r w:rsidR="007778C5" w:rsidRPr="007778C5">
        <w:t xml:space="preserve"> и среднесписочной численности учреждения</w:t>
      </w:r>
      <w:r w:rsidRPr="007778C5">
        <w:t>;</w:t>
      </w:r>
    </w:p>
    <w:p w:rsidR="00B04718" w:rsidRDefault="00B04718" w:rsidP="00B04718">
      <w:pPr>
        <w:pStyle w:val="a9"/>
        <w:ind w:left="0" w:firstLine="705"/>
        <w:jc w:val="both"/>
      </w:pPr>
      <w:r>
        <w:t xml:space="preserve">- по ставкам совместителей формирование ФОТ осуществляется по </w:t>
      </w:r>
      <w:r w:rsidR="00025CEF">
        <w:t>планируемому</w:t>
      </w:r>
      <w:r>
        <w:t xml:space="preserve"> уровню МРОТ.</w:t>
      </w:r>
    </w:p>
    <w:p w:rsidR="00BC46EE" w:rsidRDefault="00BC46EE" w:rsidP="00BC46EE">
      <w:pPr>
        <w:pStyle w:val="a9"/>
        <w:ind w:left="0" w:firstLine="705"/>
        <w:jc w:val="both"/>
      </w:pPr>
      <w:r w:rsidRPr="006E0AE8">
        <w:t>2.2. ФОТ руководителей и специалистов учреждений культуры</w:t>
      </w:r>
      <w:r w:rsidRPr="006E0AE8">
        <w:rPr>
          <w:b/>
        </w:rPr>
        <w:t xml:space="preserve"> </w:t>
      </w:r>
      <w:proofErr w:type="gramStart"/>
      <w:r w:rsidRPr="006E0AE8">
        <w:t>исходя из среднесписочной численности и целевого значения средней заработной платы на 202</w:t>
      </w:r>
      <w:r w:rsidR="00B6296D">
        <w:t>3</w:t>
      </w:r>
      <w:r w:rsidRPr="006E0AE8">
        <w:t xml:space="preserve"> год без учета должностей, содержание которых полностью осуществляется</w:t>
      </w:r>
      <w:proofErr w:type="gramEnd"/>
      <w:r w:rsidRPr="006E0AE8">
        <w:t xml:space="preserve"> за счет доходов от приносящей доход </w:t>
      </w:r>
      <w:r w:rsidRPr="006E0AE8">
        <w:lastRenderedPageBreak/>
        <w:t xml:space="preserve">деятельности. ФОТ младшего обслуживающего персонала рассчитывается  исходя из </w:t>
      </w:r>
      <w:r w:rsidR="00025CEF">
        <w:t>планируемо</w:t>
      </w:r>
      <w:r w:rsidR="006E0AE8" w:rsidRPr="006E0AE8">
        <w:t xml:space="preserve">го уровня </w:t>
      </w:r>
      <w:r w:rsidR="008F0B6A">
        <w:rPr>
          <w:szCs w:val="24"/>
        </w:rPr>
        <w:t>МРОТ</w:t>
      </w:r>
      <w:r w:rsidRPr="006E0AE8">
        <w:t>.</w:t>
      </w:r>
    </w:p>
    <w:p w:rsidR="00D31F6C" w:rsidRPr="00FC4C72" w:rsidRDefault="00D31F6C" w:rsidP="00BC46EE">
      <w:pPr>
        <w:pStyle w:val="a9"/>
        <w:ind w:left="0" w:firstLine="705"/>
        <w:jc w:val="both"/>
      </w:pPr>
      <w:r w:rsidRPr="00FC4C72">
        <w:t>2.3. ФОТ педагогических работников сферы культур</w:t>
      </w:r>
      <w:r w:rsidR="00B6296D" w:rsidRPr="00FC4C72">
        <w:t>ы</w:t>
      </w:r>
      <w:r w:rsidRPr="00FC4C72">
        <w:t xml:space="preserve"> формируется </w:t>
      </w:r>
      <w:r w:rsidR="00EB30F1" w:rsidRPr="00FC4C72">
        <w:t>исходя и</w:t>
      </w:r>
      <w:r w:rsidR="008F0B6A" w:rsidRPr="00FC4C72">
        <w:t>з</w:t>
      </w:r>
      <w:r w:rsidR="00EB30F1" w:rsidRPr="00FC4C72">
        <w:t xml:space="preserve"> тарификационных списков в пересчете на ставки.</w:t>
      </w:r>
      <w:r w:rsidR="00B04718" w:rsidRPr="00FC4C72">
        <w:t xml:space="preserve"> По ставкам совместителей формирование ФОТ осуществляется по </w:t>
      </w:r>
      <w:r w:rsidR="00025CEF">
        <w:t>планируемо</w:t>
      </w:r>
      <w:r w:rsidR="00B04718" w:rsidRPr="00FC4C72">
        <w:t>му уровню МРОТ.</w:t>
      </w:r>
    </w:p>
    <w:p w:rsidR="00BC46EE" w:rsidRPr="00FC4C72" w:rsidRDefault="00BC46EE" w:rsidP="00BC46EE">
      <w:pPr>
        <w:ind w:firstLine="705"/>
        <w:jc w:val="both"/>
        <w:rPr>
          <w:rFonts w:eastAsiaTheme="minorHAnsi"/>
          <w:lang w:eastAsia="en-US"/>
        </w:rPr>
      </w:pPr>
      <w:r w:rsidRPr="00FC4C72">
        <w:t xml:space="preserve">3. </w:t>
      </w:r>
      <w:r w:rsidR="00C20524" w:rsidRPr="00FC4C72">
        <w:rPr>
          <w:sz w:val="27"/>
          <w:szCs w:val="27"/>
          <w:shd w:val="clear" w:color="auto" w:fill="FFFFFF"/>
        </w:rPr>
        <w:t>Определять предельную долю расходов на оплату административно-управленческого и вспомогательного персонала в фонде оплаты труда образовательных учреждений в объеме не </w:t>
      </w:r>
      <w:r w:rsidRPr="00FC4C72">
        <w:rPr>
          <w:rFonts w:eastAsiaTheme="minorHAnsi"/>
          <w:lang w:eastAsia="en-US"/>
        </w:rPr>
        <w:t>более 40 процентов.</w:t>
      </w:r>
    </w:p>
    <w:p w:rsidR="00BC46EE" w:rsidRPr="008C04C2" w:rsidRDefault="00BC46EE" w:rsidP="00BC46EE">
      <w:pPr>
        <w:pStyle w:val="a9"/>
        <w:numPr>
          <w:ilvl w:val="0"/>
          <w:numId w:val="14"/>
        </w:numPr>
        <w:ind w:left="0" w:firstLine="705"/>
        <w:jc w:val="both"/>
      </w:pPr>
      <w:r w:rsidRPr="00FC4C72">
        <w:t>Расчет ФОТ муниципальных служащих, лиц, замещающих</w:t>
      </w:r>
      <w:r w:rsidRPr="008C04C2">
        <w:t xml:space="preserve"> муниципальные должности</w:t>
      </w:r>
      <w:r w:rsidR="00D62B96">
        <w:t>, работников, занимающих должности, не отнесенные к должностям муниципальной службы</w:t>
      </w:r>
      <w:r w:rsidRPr="008C04C2">
        <w:t xml:space="preserve"> городского округа Кинешма, осуществляется в соответствии с действующими положениями</w:t>
      </w:r>
      <w:r w:rsidR="008C17D8">
        <w:t xml:space="preserve"> о системах оплаты труда</w:t>
      </w:r>
      <w:r w:rsidR="002F7CC0">
        <w:t xml:space="preserve"> с учетом соблюдения установленного норматива на содержание орга</w:t>
      </w:r>
      <w:r w:rsidR="00A9409C">
        <w:t>нов местного самоуправления</w:t>
      </w:r>
      <w:r w:rsidRPr="008C04C2">
        <w:t>.</w:t>
      </w:r>
      <w:r w:rsidR="00A9409C">
        <w:t xml:space="preserve"> </w:t>
      </w:r>
      <w:r w:rsidR="00581030">
        <w:t>В</w:t>
      </w:r>
      <w:r w:rsidR="00693AAE">
        <w:t xml:space="preserve"> связи с прогнозируемым сокращением населения</w:t>
      </w:r>
      <w:r w:rsidR="00581030">
        <w:t>,</w:t>
      </w:r>
      <w:r w:rsidR="00693AAE">
        <w:t xml:space="preserve"> </w:t>
      </w:r>
      <w:proofErr w:type="gramStart"/>
      <w:r w:rsidR="00581030">
        <w:t xml:space="preserve">начиная с 2024г </w:t>
      </w:r>
      <w:r w:rsidR="00A9409C">
        <w:t>не допускается рост штатной</w:t>
      </w:r>
      <w:proofErr w:type="gramEnd"/>
      <w:r w:rsidR="00A9409C">
        <w:t xml:space="preserve"> численности в </w:t>
      </w:r>
      <w:r w:rsidR="001A2445">
        <w:t>органах местного самоуправления городского округа Кинешма</w:t>
      </w:r>
      <w:r w:rsidR="00693AAE">
        <w:t>.</w:t>
      </w:r>
    </w:p>
    <w:p w:rsidR="00E5421B" w:rsidRPr="00411DB0" w:rsidRDefault="00BC46EE" w:rsidP="00E169B0">
      <w:pPr>
        <w:pStyle w:val="a9"/>
        <w:numPr>
          <w:ilvl w:val="0"/>
          <w:numId w:val="14"/>
        </w:numPr>
        <w:ind w:left="0" w:firstLine="705"/>
        <w:jc w:val="both"/>
      </w:pPr>
      <w:r w:rsidRPr="00411DB0">
        <w:t>Формирование расходов на оплату  коммунальных услуг  осуществляется</w:t>
      </w:r>
      <w:r w:rsidR="00E53CFF" w:rsidRPr="00E53CFF">
        <w:t xml:space="preserve"> </w:t>
      </w:r>
      <w:r w:rsidR="00E169B0">
        <w:t>из расчета фактических</w:t>
      </w:r>
      <w:r w:rsidR="00F56B08">
        <w:t xml:space="preserve"> и ожидаемых</w:t>
      </w:r>
      <w:r w:rsidR="00E169B0">
        <w:t xml:space="preserve"> натуральных объемов потребляемых ресурсов </w:t>
      </w:r>
      <w:r w:rsidR="00E169B0" w:rsidRPr="00411DB0">
        <w:t>по показателям текущего года</w:t>
      </w:r>
      <w:r w:rsidR="00E169B0">
        <w:t xml:space="preserve">. </w:t>
      </w:r>
      <w:r w:rsidR="00E169B0" w:rsidRPr="00411DB0">
        <w:t xml:space="preserve"> </w:t>
      </w:r>
    </w:p>
    <w:p w:rsidR="00BC46EE" w:rsidRPr="00F56B08" w:rsidRDefault="00BC46EE" w:rsidP="00BC46EE">
      <w:pPr>
        <w:pStyle w:val="a9"/>
        <w:numPr>
          <w:ilvl w:val="0"/>
          <w:numId w:val="14"/>
        </w:numPr>
        <w:ind w:left="0" w:firstLine="705"/>
        <w:jc w:val="both"/>
      </w:pPr>
      <w:r w:rsidRPr="00F56B08">
        <w:t xml:space="preserve">Формирование прочих расходов осуществляется по </w:t>
      </w:r>
      <w:r w:rsidR="00F56B08" w:rsidRPr="00F56B08">
        <w:t>плановым показателям</w:t>
      </w:r>
      <w:r w:rsidRPr="00F56B08">
        <w:t xml:space="preserve"> 202</w:t>
      </w:r>
      <w:r w:rsidR="00B1086B" w:rsidRPr="00F56B08">
        <w:t>3</w:t>
      </w:r>
      <w:r w:rsidRPr="00F56B08">
        <w:t xml:space="preserve"> года за исключением расходов, носящих единовременных характер, а также с учетом ликвидации (реорганизации) отдельных муниципальных учреждений. </w:t>
      </w:r>
    </w:p>
    <w:p w:rsidR="00BC46EE" w:rsidRPr="003A6916" w:rsidRDefault="00BC46EE" w:rsidP="00BC46EE">
      <w:pPr>
        <w:pStyle w:val="a9"/>
        <w:numPr>
          <w:ilvl w:val="0"/>
          <w:numId w:val="14"/>
        </w:numPr>
        <w:ind w:left="0" w:firstLine="705"/>
        <w:jc w:val="both"/>
      </w:pPr>
      <w:r w:rsidRPr="00F56B08">
        <w:t>Планируемый расчет по прочим расходам</w:t>
      </w:r>
      <w:r w:rsidRPr="003A6916">
        <w:t xml:space="preserve">  на обеспечение деятельности </w:t>
      </w:r>
      <w:r w:rsidR="00E169B0" w:rsidRPr="003A6916">
        <w:t>органов местного самоуправления, казенных учреждений городского округа Кинешма</w:t>
      </w:r>
      <w:r w:rsidRPr="003A6916">
        <w:t xml:space="preserve"> осуществл</w:t>
      </w:r>
      <w:r w:rsidR="00D31F6C" w:rsidRPr="003A6916">
        <w:t>яется</w:t>
      </w:r>
      <w:r w:rsidRPr="003A6916">
        <w:t xml:space="preserve"> по утвержденным расходам 202</w:t>
      </w:r>
      <w:r w:rsidR="007F3F02">
        <w:t>3</w:t>
      </w:r>
      <w:r w:rsidRPr="003A6916">
        <w:t xml:space="preserve"> года за исключением расходов, носящих единовременных характер.</w:t>
      </w:r>
    </w:p>
    <w:p w:rsidR="00756ACC" w:rsidRDefault="00BC46EE" w:rsidP="00676B0A">
      <w:pPr>
        <w:pStyle w:val="a9"/>
        <w:numPr>
          <w:ilvl w:val="0"/>
          <w:numId w:val="14"/>
        </w:numPr>
        <w:ind w:left="0" w:firstLine="705"/>
        <w:jc w:val="both"/>
      </w:pPr>
      <w:r w:rsidRPr="00FB645B">
        <w:t xml:space="preserve">Планируемые объемы расходов за счет средств бюджета городского округа корректируются на объемы расходов за счет средств, полученных </w:t>
      </w:r>
      <w:r w:rsidR="008963AE">
        <w:t xml:space="preserve">муниципальными учреждениями </w:t>
      </w:r>
      <w:r w:rsidRPr="00FB645B">
        <w:t xml:space="preserve">от оказания услуг (выполнения работ) на платной основе и от иной приносящей доход деятельности. </w:t>
      </w:r>
    </w:p>
    <w:p w:rsidR="00BC46EE" w:rsidRPr="008963AE" w:rsidRDefault="00BC46EE" w:rsidP="00756ACC">
      <w:pPr>
        <w:pStyle w:val="a9"/>
        <w:ind w:left="0" w:firstLine="705"/>
        <w:jc w:val="both"/>
      </w:pPr>
      <w:r w:rsidRPr="00FB645B">
        <w:t>Объем расходов за счет средств, полученных от оказания услуг (выполнения работ) на платной основе и от иной приносящей доход деятельности по одноименным направлениям расходов</w:t>
      </w:r>
      <w:r w:rsidR="00025CEF">
        <w:t>,</w:t>
      </w:r>
      <w:r w:rsidRPr="00FB645B">
        <w:t xml:space="preserve"> формиру</w:t>
      </w:r>
      <w:r w:rsidR="00025CEF">
        <w:t>е</w:t>
      </w:r>
      <w:r w:rsidRPr="00FB645B">
        <w:t xml:space="preserve">тся не </w:t>
      </w:r>
      <w:r w:rsidRPr="008963AE">
        <w:t xml:space="preserve">ниже уровня </w:t>
      </w:r>
      <w:r w:rsidR="00837B13" w:rsidRPr="008963AE">
        <w:t xml:space="preserve">плановых значений </w:t>
      </w:r>
      <w:r w:rsidR="00B73691" w:rsidRPr="008963AE">
        <w:t xml:space="preserve">показателей </w:t>
      </w:r>
      <w:r w:rsidR="00837B13" w:rsidRPr="008963AE">
        <w:t>по состоянию на 01.08.202</w:t>
      </w:r>
      <w:r w:rsidR="007F3F02">
        <w:t>3</w:t>
      </w:r>
      <w:r w:rsidRPr="008963AE">
        <w:t xml:space="preserve"> года.</w:t>
      </w:r>
      <w:r w:rsidR="00756ACC" w:rsidRPr="008963AE">
        <w:t xml:space="preserve"> </w:t>
      </w:r>
    </w:p>
    <w:p w:rsidR="00676B0A" w:rsidRDefault="00BC46EE" w:rsidP="00F15733">
      <w:pPr>
        <w:pStyle w:val="1"/>
        <w:numPr>
          <w:ilvl w:val="0"/>
          <w:numId w:val="14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Объемы целевых средств (субсидия на иные цели) формируются</w:t>
      </w:r>
      <w:r w:rsidR="00676B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соответствием с установленным порядком</w:t>
      </w:r>
      <w:r w:rsidR="00676B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определения объема и услови</w:t>
      </w:r>
      <w:r w:rsidR="00536BA5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="00676B0A" w:rsidRPr="008963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предоставления</w:t>
      </w:r>
      <w:r w:rsidR="00676B0A" w:rsidRPr="00EA7E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из бюджета городского округа Кинешма муниципальным бюджетным и автономным учреждениям городского округа Кинешма субсидий на иные цели.</w:t>
      </w:r>
      <w:proofErr w:type="gramEnd"/>
    </w:p>
    <w:p w:rsidR="007F3F02" w:rsidRPr="00764524" w:rsidRDefault="00764524" w:rsidP="00764524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 w:rsidRPr="00764524">
        <w:rPr>
          <w:rFonts w:eastAsiaTheme="minorHAnsi"/>
          <w:lang w:eastAsia="en-US"/>
        </w:rPr>
        <w:t>10.</w:t>
      </w:r>
      <w:r>
        <w:rPr>
          <w:rFonts w:eastAsiaTheme="minorHAnsi"/>
          <w:lang w:eastAsia="en-US"/>
        </w:rPr>
        <w:t xml:space="preserve"> </w:t>
      </w:r>
      <w:r w:rsidR="003D53D5" w:rsidRPr="00764524">
        <w:rPr>
          <w:rFonts w:eastAsiaTheme="minorHAnsi"/>
          <w:lang w:eastAsia="en-US"/>
        </w:rPr>
        <w:t xml:space="preserve">При распределении </w:t>
      </w:r>
      <w:r w:rsidR="00A51481" w:rsidRPr="00764524">
        <w:rPr>
          <w:rFonts w:eastAsiaTheme="minorHAnsi"/>
          <w:lang w:eastAsia="en-US"/>
        </w:rPr>
        <w:t>доведенных</w:t>
      </w:r>
      <w:r w:rsidR="003D53D5" w:rsidRPr="00764524">
        <w:rPr>
          <w:rFonts w:eastAsiaTheme="minorHAnsi"/>
          <w:lang w:eastAsia="en-US"/>
        </w:rPr>
        <w:t xml:space="preserve"> объёмов бюджетных ассигнований</w:t>
      </w:r>
      <w:r w:rsidR="00A51481" w:rsidRPr="00764524">
        <w:rPr>
          <w:rFonts w:eastAsiaTheme="minorHAnsi"/>
          <w:lang w:eastAsia="en-US"/>
        </w:rPr>
        <w:t xml:space="preserve"> </w:t>
      </w:r>
      <w:r w:rsidR="00837B13" w:rsidRPr="00764524">
        <w:rPr>
          <w:rFonts w:eastAsiaTheme="minorHAnsi"/>
          <w:lang w:eastAsia="en-US"/>
        </w:rPr>
        <w:t>по кодам бюджетной классификации</w:t>
      </w:r>
      <w:r w:rsidR="00C43F1F" w:rsidRPr="00764524">
        <w:rPr>
          <w:rFonts w:eastAsiaTheme="minorHAnsi"/>
          <w:lang w:eastAsia="en-US"/>
        </w:rPr>
        <w:t>,</w:t>
      </w:r>
      <w:r w:rsidR="00837B13" w:rsidRPr="00764524">
        <w:rPr>
          <w:rFonts w:eastAsiaTheme="minorHAnsi"/>
          <w:lang w:eastAsia="en-US"/>
        </w:rPr>
        <w:t xml:space="preserve"> </w:t>
      </w:r>
      <w:r w:rsidR="003D53D5" w:rsidRPr="00764524">
        <w:rPr>
          <w:rFonts w:eastAsiaTheme="minorHAnsi"/>
          <w:lang w:eastAsia="en-US"/>
        </w:rPr>
        <w:t>главные распорядители бюджетных средств</w:t>
      </w:r>
      <w:r w:rsidR="00A51481" w:rsidRPr="00764524">
        <w:rPr>
          <w:rFonts w:eastAsiaTheme="minorHAnsi"/>
          <w:lang w:eastAsia="en-US"/>
        </w:rPr>
        <w:t xml:space="preserve"> </w:t>
      </w:r>
      <w:r w:rsidR="003D53D5" w:rsidRPr="00764524">
        <w:rPr>
          <w:rFonts w:eastAsiaTheme="minorHAnsi"/>
          <w:lang w:eastAsia="en-US"/>
        </w:rPr>
        <w:t>руководствуются</w:t>
      </w:r>
      <w:r w:rsidR="007F3F02" w:rsidRPr="00764524">
        <w:rPr>
          <w:rFonts w:eastAsiaTheme="minorHAnsi"/>
          <w:lang w:eastAsia="en-US"/>
        </w:rPr>
        <w:t>:</w:t>
      </w:r>
    </w:p>
    <w:p w:rsidR="007F3F02" w:rsidRDefault="00536BA5" w:rsidP="006A5D3B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lastRenderedPageBreak/>
        <w:t>настоящей бюджетной политикой</w:t>
      </w:r>
      <w:r w:rsidR="007F3F02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</w:p>
    <w:p w:rsidR="007F3F02" w:rsidRDefault="007F3F02" w:rsidP="006A5D3B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поручениями главы городского округа Кинешма,</w:t>
      </w:r>
    </w:p>
    <w:p w:rsidR="007F3F02" w:rsidRDefault="003D53D5" w:rsidP="006A5D3B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>протокольными решениями комисси</w:t>
      </w:r>
      <w:r w:rsidR="00A51481" w:rsidRPr="006A5D3B">
        <w:rPr>
          <w:rFonts w:eastAsiaTheme="minorHAnsi"/>
          <w:lang w:eastAsia="en-US"/>
        </w:rPr>
        <w:t>и по бюджетным проектировкам</w:t>
      </w:r>
      <w:r w:rsidR="007F3F02">
        <w:rPr>
          <w:rFonts w:eastAsiaTheme="minorHAnsi"/>
          <w:lang w:eastAsia="en-US"/>
        </w:rPr>
        <w:t xml:space="preserve">,   </w:t>
      </w:r>
    </w:p>
    <w:p w:rsidR="007F3F02" w:rsidRDefault="007F3F02" w:rsidP="006A5D3B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t xml:space="preserve">решениями </w:t>
      </w:r>
      <w:r w:rsidRPr="00CF00C5">
        <w:t>согласительн</w:t>
      </w:r>
      <w:r>
        <w:t>ых</w:t>
      </w:r>
      <w:r w:rsidRPr="00CF00C5">
        <w:t xml:space="preserve"> комисси</w:t>
      </w:r>
      <w:r>
        <w:t>й</w:t>
      </w:r>
      <w:r w:rsidRPr="00CF00C5">
        <w:t xml:space="preserve"> по обсуждению несогласованных вопросов</w:t>
      </w:r>
      <w:r w:rsidR="0050501B">
        <w:t>.</w:t>
      </w:r>
    </w:p>
    <w:p w:rsidR="003D53D5" w:rsidRPr="006A5D3B" w:rsidRDefault="003D53D5" w:rsidP="00536BA5">
      <w:pPr>
        <w:pStyle w:val="a9"/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>В пределах доведённых бюджетных ассигнований на реализацию</w:t>
      </w:r>
      <w:r w:rsidR="00A51481" w:rsidRPr="006A5D3B">
        <w:rPr>
          <w:rFonts w:eastAsiaTheme="minorHAnsi"/>
          <w:lang w:eastAsia="en-US"/>
        </w:rPr>
        <w:t xml:space="preserve"> муниципальной</w:t>
      </w:r>
      <w:r w:rsidRPr="006A5D3B">
        <w:rPr>
          <w:rFonts w:eastAsiaTheme="minorHAnsi"/>
          <w:lang w:eastAsia="en-US"/>
        </w:rPr>
        <w:t xml:space="preserve"> программы </w:t>
      </w:r>
      <w:r w:rsidR="00A51481" w:rsidRPr="006A5D3B">
        <w:rPr>
          <w:rFonts w:eastAsiaTheme="minorHAnsi"/>
          <w:lang w:eastAsia="en-US"/>
        </w:rPr>
        <w:t>администраторы программ</w:t>
      </w:r>
      <w:r w:rsidRPr="006A5D3B">
        <w:rPr>
          <w:rFonts w:eastAsiaTheme="minorHAnsi"/>
          <w:lang w:eastAsia="en-US"/>
        </w:rPr>
        <w:t>, главные распорядители бюджетных средств</w:t>
      </w:r>
      <w:r w:rsidR="00A51481" w:rsidRP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 xml:space="preserve">обеспечивают эффективное </w:t>
      </w:r>
      <w:r w:rsidR="00A51481" w:rsidRPr="006A5D3B">
        <w:rPr>
          <w:rFonts w:eastAsiaTheme="minorHAnsi"/>
          <w:lang w:eastAsia="en-US"/>
        </w:rPr>
        <w:t>р</w:t>
      </w:r>
      <w:r w:rsidRPr="006A5D3B">
        <w:rPr>
          <w:rFonts w:eastAsiaTheme="minorHAnsi"/>
          <w:lang w:eastAsia="en-US"/>
        </w:rPr>
        <w:t>аспределение бюджетных</w:t>
      </w:r>
      <w:r w:rsidR="00A51481" w:rsidRP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>сре</w:t>
      </w:r>
      <w:proofErr w:type="gramStart"/>
      <w:r w:rsidRPr="006A5D3B">
        <w:rPr>
          <w:rFonts w:eastAsiaTheme="minorHAnsi"/>
          <w:lang w:eastAsia="en-US"/>
        </w:rPr>
        <w:t>дств в с</w:t>
      </w:r>
      <w:proofErr w:type="gramEnd"/>
      <w:r w:rsidRPr="006A5D3B">
        <w:rPr>
          <w:rFonts w:eastAsiaTheme="minorHAnsi"/>
          <w:lang w:eastAsia="en-US"/>
        </w:rPr>
        <w:t>оответствии с установленными приоритетами и целевыми</w:t>
      </w:r>
      <w:r w:rsidR="00A51481" w:rsidRP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>показателями программ.</w:t>
      </w:r>
    </w:p>
    <w:p w:rsidR="00536BA5" w:rsidRDefault="003D53D5" w:rsidP="006A5D3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 xml:space="preserve">При распределении предельных объемов бюджетных ассигнований </w:t>
      </w:r>
      <w:r w:rsidR="00837B13">
        <w:rPr>
          <w:rFonts w:eastAsiaTheme="minorHAnsi"/>
          <w:lang w:eastAsia="en-US"/>
        </w:rPr>
        <w:t xml:space="preserve">по кодам бюджетной классификации </w:t>
      </w:r>
      <w:r w:rsidRPr="006A5D3B">
        <w:rPr>
          <w:rFonts w:eastAsiaTheme="minorHAnsi"/>
          <w:lang w:eastAsia="en-US"/>
        </w:rPr>
        <w:t>в</w:t>
      </w:r>
      <w:r w:rsidR="00A51481" w:rsidRP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 xml:space="preserve">полном объеме предусматриваются расходы </w:t>
      </w:r>
      <w:proofErr w:type="gramStart"/>
      <w:r w:rsidRPr="006A5D3B">
        <w:rPr>
          <w:rFonts w:eastAsiaTheme="minorHAnsi"/>
          <w:lang w:eastAsia="en-US"/>
        </w:rPr>
        <w:t>на</w:t>
      </w:r>
      <w:proofErr w:type="gramEnd"/>
      <w:r w:rsidR="00536BA5">
        <w:rPr>
          <w:rFonts w:eastAsiaTheme="minorHAnsi"/>
          <w:lang w:eastAsia="en-US"/>
        </w:rPr>
        <w:t>:</w:t>
      </w:r>
    </w:p>
    <w:p w:rsidR="00536BA5" w:rsidRDefault="003D53D5" w:rsidP="006A5D3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 xml:space="preserve"> реализацию </w:t>
      </w:r>
      <w:r w:rsidR="00A51481" w:rsidRPr="006A5D3B">
        <w:rPr>
          <w:rFonts w:eastAsiaTheme="minorHAnsi"/>
          <w:lang w:eastAsia="en-US"/>
        </w:rPr>
        <w:t xml:space="preserve">национальных проектов России, </w:t>
      </w:r>
      <w:r w:rsidRPr="006A5D3B">
        <w:rPr>
          <w:rFonts w:eastAsiaTheme="minorHAnsi"/>
          <w:lang w:eastAsia="en-US"/>
        </w:rPr>
        <w:t>региональных</w:t>
      </w:r>
      <w:r w:rsidR="00A51481" w:rsidRP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>проектов,</w:t>
      </w:r>
      <w:r w:rsidR="00A51481" w:rsidRPr="006A5D3B">
        <w:rPr>
          <w:rFonts w:eastAsiaTheme="minorHAnsi"/>
          <w:lang w:eastAsia="en-US"/>
        </w:rPr>
        <w:t xml:space="preserve"> государственных программ,</w:t>
      </w:r>
      <w:r w:rsidRPr="006A5D3B">
        <w:rPr>
          <w:rFonts w:eastAsiaTheme="minorHAnsi"/>
          <w:lang w:eastAsia="en-US"/>
        </w:rPr>
        <w:t xml:space="preserve"> </w:t>
      </w:r>
    </w:p>
    <w:p w:rsidR="00837B13" w:rsidRDefault="003D53D5" w:rsidP="006A5D3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>обеспечение социально значимых обязательств</w:t>
      </w:r>
      <w:r w:rsidR="00837B13">
        <w:rPr>
          <w:rFonts w:eastAsiaTheme="minorHAnsi"/>
          <w:lang w:eastAsia="en-US"/>
        </w:rPr>
        <w:t xml:space="preserve">, </w:t>
      </w:r>
    </w:p>
    <w:p w:rsidR="00536BA5" w:rsidRDefault="00837B13" w:rsidP="006A5D3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обеспечение достижения установленного целевого показателя средней заработной платы </w:t>
      </w:r>
      <w:r w:rsidR="003D53D5" w:rsidRPr="006A5D3B">
        <w:rPr>
          <w:rFonts w:eastAsiaTheme="minorHAnsi"/>
          <w:lang w:eastAsia="en-US"/>
        </w:rPr>
        <w:t>отдельных категорий работников социальной сферы в</w:t>
      </w:r>
      <w:r w:rsidR="00A51481" w:rsidRPr="006A5D3B">
        <w:rPr>
          <w:rFonts w:eastAsiaTheme="minorHAnsi"/>
          <w:lang w:eastAsia="en-US"/>
        </w:rPr>
        <w:t xml:space="preserve"> </w:t>
      </w:r>
      <w:r w:rsidR="003D53D5" w:rsidRPr="006A5D3B">
        <w:rPr>
          <w:rFonts w:eastAsiaTheme="minorHAnsi"/>
          <w:lang w:eastAsia="en-US"/>
        </w:rPr>
        <w:t>соответствии с указами Президента Российской Федерации,</w:t>
      </w:r>
      <w:r w:rsidR="00A51481" w:rsidRPr="006A5D3B">
        <w:rPr>
          <w:rFonts w:eastAsiaTheme="minorHAnsi"/>
          <w:lang w:eastAsia="en-US"/>
        </w:rPr>
        <w:t xml:space="preserve"> </w:t>
      </w:r>
    </w:p>
    <w:p w:rsidR="00536BA5" w:rsidRDefault="003D53D5" w:rsidP="006A5D3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>уплат</w:t>
      </w:r>
      <w:r w:rsidR="00536BA5">
        <w:rPr>
          <w:rFonts w:eastAsiaTheme="minorHAnsi"/>
          <w:lang w:eastAsia="en-US"/>
        </w:rPr>
        <w:t>у</w:t>
      </w:r>
      <w:r w:rsidRPr="006A5D3B">
        <w:rPr>
          <w:rFonts w:eastAsiaTheme="minorHAnsi"/>
          <w:lang w:eastAsia="en-US"/>
        </w:rPr>
        <w:t xml:space="preserve"> законодательно установленных налогов, сборов и</w:t>
      </w:r>
      <w:r w:rsid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>платежей,</w:t>
      </w:r>
    </w:p>
    <w:p w:rsidR="00536BA5" w:rsidRDefault="003D53D5" w:rsidP="006A5D3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6A5D3B">
        <w:rPr>
          <w:rFonts w:eastAsiaTheme="minorHAnsi"/>
          <w:lang w:eastAsia="en-US"/>
        </w:rPr>
        <w:t>оплат</w:t>
      </w:r>
      <w:r w:rsidR="00536BA5">
        <w:rPr>
          <w:rFonts w:eastAsiaTheme="minorHAnsi"/>
          <w:lang w:eastAsia="en-US"/>
        </w:rPr>
        <w:t>у</w:t>
      </w:r>
      <w:r w:rsidRPr="006A5D3B">
        <w:rPr>
          <w:rFonts w:eastAsiaTheme="minorHAnsi"/>
          <w:lang w:eastAsia="en-US"/>
        </w:rPr>
        <w:t xml:space="preserve"> коммунальных услуг и расходов, связанных с содержанием и</w:t>
      </w:r>
      <w:r w:rsidR="00A51481" w:rsidRPr="006A5D3B">
        <w:rPr>
          <w:rFonts w:eastAsiaTheme="minorHAnsi"/>
          <w:lang w:eastAsia="en-US"/>
        </w:rPr>
        <w:t xml:space="preserve"> </w:t>
      </w:r>
      <w:r w:rsidRPr="006A5D3B">
        <w:rPr>
          <w:rFonts w:eastAsiaTheme="minorHAnsi"/>
          <w:lang w:eastAsia="en-US"/>
        </w:rPr>
        <w:t xml:space="preserve">обслуживанием </w:t>
      </w:r>
      <w:r w:rsidR="00A51481" w:rsidRPr="006A5D3B">
        <w:rPr>
          <w:rFonts w:eastAsiaTheme="minorHAnsi"/>
          <w:lang w:eastAsia="en-US"/>
        </w:rPr>
        <w:t>муниципального</w:t>
      </w:r>
      <w:r w:rsidRPr="006A5D3B">
        <w:rPr>
          <w:rFonts w:eastAsiaTheme="minorHAnsi"/>
          <w:lang w:eastAsia="en-US"/>
        </w:rPr>
        <w:t xml:space="preserve"> имущества, </w:t>
      </w:r>
    </w:p>
    <w:p w:rsidR="00057CDA" w:rsidRDefault="003D53D5" w:rsidP="00057CD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lang w:eastAsia="en-US"/>
        </w:rPr>
      </w:pPr>
      <w:proofErr w:type="spellStart"/>
      <w:r w:rsidRPr="006A5D3B">
        <w:rPr>
          <w:rFonts w:eastAsiaTheme="minorHAnsi"/>
          <w:lang w:eastAsia="en-US"/>
        </w:rPr>
        <w:t>софинансировани</w:t>
      </w:r>
      <w:r w:rsidR="00536BA5">
        <w:rPr>
          <w:rFonts w:eastAsiaTheme="minorHAnsi"/>
          <w:lang w:eastAsia="en-US"/>
        </w:rPr>
        <w:t>е</w:t>
      </w:r>
      <w:proofErr w:type="spellEnd"/>
      <w:r w:rsidRPr="006A5D3B">
        <w:rPr>
          <w:rFonts w:eastAsiaTheme="minorHAnsi"/>
          <w:lang w:eastAsia="en-US"/>
        </w:rPr>
        <w:t xml:space="preserve"> расходов </w:t>
      </w:r>
      <w:r w:rsidR="00536BA5">
        <w:rPr>
          <w:rFonts w:eastAsiaTheme="minorHAnsi"/>
          <w:lang w:eastAsia="en-US"/>
        </w:rPr>
        <w:t xml:space="preserve">для предоставления субсидий </w:t>
      </w:r>
      <w:r w:rsidRPr="006A5D3B">
        <w:rPr>
          <w:rFonts w:eastAsiaTheme="minorHAnsi"/>
          <w:lang w:eastAsia="en-US"/>
        </w:rPr>
        <w:t>из</w:t>
      </w:r>
      <w:r w:rsidR="00A51481" w:rsidRPr="006A5D3B">
        <w:rPr>
          <w:rFonts w:eastAsiaTheme="minorHAnsi"/>
          <w:lang w:eastAsia="en-US"/>
        </w:rPr>
        <w:t xml:space="preserve"> областного</w:t>
      </w:r>
      <w:r w:rsidRPr="006A5D3B">
        <w:rPr>
          <w:rFonts w:eastAsiaTheme="minorHAnsi"/>
          <w:lang w:eastAsia="en-US"/>
        </w:rPr>
        <w:t xml:space="preserve"> бюджета.</w:t>
      </w:r>
      <w:r w:rsidR="00057CDA" w:rsidRPr="00057CDA">
        <w:rPr>
          <w:rFonts w:ascii="TimesNewRomanPSMT" w:eastAsiaTheme="minorHAnsi" w:hAnsi="TimesNewRomanPSMT" w:cs="TimesNewRomanPSMT"/>
          <w:lang w:eastAsia="en-US"/>
        </w:rPr>
        <w:t xml:space="preserve"> </w:t>
      </w:r>
    </w:p>
    <w:p w:rsidR="00057CDA" w:rsidRDefault="00057CDA" w:rsidP="006A5E51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Ответственные исполнители муниципальных программ, главные распорядители средств бюджета обязаны принимать меры, направленные на повышение эффективности бюджетных расходов, в том числе расходов на муниципальное управление, расходов на содержание бюджетной сети, расходов на оказание мер социальной поддержки, инвестиционных расходов.</w:t>
      </w:r>
    </w:p>
    <w:p w:rsidR="00BC46EE" w:rsidRPr="00EA7E3A" w:rsidRDefault="00764524" w:rsidP="00764524">
      <w:pPr>
        <w:ind w:firstLine="709"/>
        <w:jc w:val="both"/>
      </w:pPr>
      <w:r w:rsidRPr="00764524">
        <w:t>11.</w:t>
      </w:r>
      <w:r w:rsidR="00BC46EE" w:rsidRPr="00EA7E3A">
        <w:t xml:space="preserve"> Дальнейшее совершенствование института муниципальных программ и повышение эффективности их реализации путем:</w:t>
      </w:r>
    </w:p>
    <w:p w:rsidR="00BC46EE" w:rsidRPr="00EA7E3A" w:rsidRDefault="00764524" w:rsidP="00BC46EE">
      <w:pPr>
        <w:ind w:firstLine="360"/>
        <w:jc w:val="both"/>
      </w:pPr>
      <w:r>
        <w:t>-</w:t>
      </w:r>
      <w:r w:rsidR="00BC46EE" w:rsidRPr="00EA7E3A">
        <w:t xml:space="preserve"> повышения качества планирования значений целевых пок</w:t>
      </w:r>
      <w:r w:rsidR="00342810">
        <w:t>азателей муниципальных программ, в том числе за счет увязки их с показателями налоговых расходов, отнесенных к мероприятиям данных программ;</w:t>
      </w:r>
    </w:p>
    <w:p w:rsidR="00BC46EE" w:rsidRPr="00EA7E3A" w:rsidRDefault="00764524" w:rsidP="00BC46EE">
      <w:pPr>
        <w:ind w:firstLine="360"/>
        <w:jc w:val="both"/>
      </w:pPr>
      <w:r>
        <w:t>-</w:t>
      </w:r>
      <w:r w:rsidR="00BC46EE" w:rsidRPr="00EA7E3A">
        <w:t xml:space="preserve"> проведения оценки эффективности муниципальных программ;</w:t>
      </w:r>
    </w:p>
    <w:p w:rsidR="00BC46EE" w:rsidRDefault="00764524" w:rsidP="00BC46EE">
      <w:pPr>
        <w:ind w:firstLine="360"/>
        <w:jc w:val="both"/>
      </w:pPr>
      <w:r>
        <w:t>-</w:t>
      </w:r>
      <w:r w:rsidR="00BC46EE" w:rsidRPr="00EA7E3A">
        <w:t xml:space="preserve"> обеспечения преемственности показателей, обозначенных в муниципальных программах, целям и задачам, обозначенным в государственных программах, для обеспечения их увязки и привлечения софинанси</w:t>
      </w:r>
      <w:r w:rsidR="00877DF4">
        <w:t>рования из вышестоящих бюджетов;</w:t>
      </w:r>
    </w:p>
    <w:p w:rsidR="00877DF4" w:rsidRDefault="00877DF4" w:rsidP="00BC46EE">
      <w:pPr>
        <w:ind w:firstLine="360"/>
        <w:jc w:val="both"/>
      </w:pPr>
      <w:r>
        <w:t>- увязки целевых индикаторов муниципальных программ с показателями муниципального задания на оказание муниципальных услуг.</w:t>
      </w:r>
    </w:p>
    <w:p w:rsidR="00006D4F" w:rsidRDefault="00877DF4" w:rsidP="001D19D4">
      <w:pPr>
        <w:ind w:firstLine="567"/>
        <w:jc w:val="both"/>
      </w:pPr>
      <w:r>
        <w:t xml:space="preserve"> </w:t>
      </w:r>
      <w:r w:rsidR="00006D4F">
        <w:t>В 2024</w:t>
      </w:r>
      <w:r w:rsidR="001D19D4">
        <w:t xml:space="preserve"> </w:t>
      </w:r>
      <w:r w:rsidR="00006D4F">
        <w:t>год</w:t>
      </w:r>
      <w:r w:rsidR="001D19D4">
        <w:t>у</w:t>
      </w:r>
      <w:r w:rsidR="00006D4F">
        <w:t xml:space="preserve"> </w:t>
      </w:r>
      <w:r w:rsidR="001D19D4">
        <w:t>необходимо осуществить</w:t>
      </w:r>
      <w:r w:rsidR="00006D4F">
        <w:t xml:space="preserve"> переход </w:t>
      </w:r>
      <w:r w:rsidR="001D19D4">
        <w:t xml:space="preserve">планирования </w:t>
      </w:r>
      <w:r w:rsidR="00006D4F">
        <w:t xml:space="preserve">муниципальных программ городского округа Кинешма </w:t>
      </w:r>
      <w:r w:rsidR="001D19D4">
        <w:t>по</w:t>
      </w:r>
      <w:r w:rsidR="00006D4F">
        <w:t xml:space="preserve"> нов</w:t>
      </w:r>
      <w:r w:rsidR="001D19D4">
        <w:t>ой</w:t>
      </w:r>
      <w:r w:rsidR="00006D4F">
        <w:t xml:space="preserve"> систем</w:t>
      </w:r>
      <w:r w:rsidR="001D19D4">
        <w:t>е</w:t>
      </w:r>
      <w:r w:rsidR="00006D4F">
        <w:t xml:space="preserve"> управления</w:t>
      </w:r>
      <w:r w:rsidR="00006D4F" w:rsidRPr="0096247A">
        <w:t>.</w:t>
      </w:r>
      <w:r w:rsidR="001D19D4" w:rsidRPr="0096247A">
        <w:t xml:space="preserve"> </w:t>
      </w:r>
      <w:r w:rsidR="00D558F7" w:rsidRPr="0096247A">
        <w:t xml:space="preserve">Бюджет на 2025-2027 годы </w:t>
      </w:r>
      <w:r w:rsidR="0096247A">
        <w:t>планируется сформировать</w:t>
      </w:r>
      <w:r w:rsidR="00D558F7" w:rsidRPr="0096247A">
        <w:t xml:space="preserve"> </w:t>
      </w:r>
      <w:r w:rsidR="001D19D4" w:rsidRPr="0096247A">
        <w:t xml:space="preserve">на основании </w:t>
      </w:r>
      <w:r w:rsidR="00D558F7" w:rsidRPr="0096247A">
        <w:t xml:space="preserve"> муниципальных программ</w:t>
      </w:r>
      <w:r w:rsidR="001D19D4" w:rsidRPr="0096247A">
        <w:t xml:space="preserve"> в «новом формате»</w:t>
      </w:r>
      <w:r w:rsidR="00D558F7" w:rsidRPr="0096247A">
        <w:t>.</w:t>
      </w:r>
      <w:r w:rsidR="00006D4F">
        <w:t xml:space="preserve"> </w:t>
      </w:r>
    </w:p>
    <w:p w:rsidR="00BC46EE" w:rsidRPr="00EA7E3A" w:rsidRDefault="00D558F7" w:rsidP="00877DF4">
      <w:pPr>
        <w:pStyle w:val="a9"/>
        <w:spacing w:line="307" w:lineRule="exact"/>
        <w:ind w:left="0" w:right="20" w:firstLine="709"/>
        <w:jc w:val="both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lastRenderedPageBreak/>
        <w:t xml:space="preserve">12. </w:t>
      </w:r>
      <w:r w:rsidR="00BC46EE" w:rsidRPr="00EA7E3A">
        <w:rPr>
          <w:rStyle w:val="0pt"/>
          <w:sz w:val="28"/>
          <w:szCs w:val="28"/>
        </w:rPr>
        <w:t xml:space="preserve">В целях обеспечения </w:t>
      </w:r>
      <w:proofErr w:type="gramStart"/>
      <w:r w:rsidR="00BC46EE" w:rsidRPr="00EA7E3A">
        <w:rPr>
          <w:rStyle w:val="0pt"/>
          <w:sz w:val="28"/>
          <w:szCs w:val="28"/>
        </w:rPr>
        <w:t>контроля за</w:t>
      </w:r>
      <w:proofErr w:type="gramEnd"/>
      <w:r w:rsidR="00BC46EE" w:rsidRPr="00EA7E3A">
        <w:rPr>
          <w:rStyle w:val="0pt"/>
          <w:sz w:val="28"/>
          <w:szCs w:val="28"/>
        </w:rPr>
        <w:t xml:space="preserve"> состоянием показателей дебиторской и кредиторской задолженности и </w:t>
      </w:r>
      <w:r w:rsidR="008C17D8">
        <w:rPr>
          <w:rStyle w:val="0pt"/>
          <w:sz w:val="28"/>
          <w:szCs w:val="28"/>
        </w:rPr>
        <w:t xml:space="preserve">минимизации </w:t>
      </w:r>
      <w:r w:rsidR="00BC46EE" w:rsidRPr="00EA7E3A">
        <w:rPr>
          <w:rStyle w:val="0pt"/>
          <w:sz w:val="28"/>
          <w:szCs w:val="28"/>
        </w:rPr>
        <w:t xml:space="preserve">кредиторской задолженности, финансовым управлением администрации городского округа Кинешма продолжится работа по мониторингу кредиторской задолженности муниципальных учреждений и осуществлению санкционирования всех расходов бюджета. </w:t>
      </w:r>
    </w:p>
    <w:p w:rsidR="00BC46EE" w:rsidRPr="00EA7E3A" w:rsidRDefault="00BC46EE" w:rsidP="00BC46EE">
      <w:pPr>
        <w:pStyle w:val="a9"/>
        <w:spacing w:line="307" w:lineRule="exact"/>
        <w:ind w:left="0" w:right="20" w:firstLine="720"/>
        <w:jc w:val="both"/>
      </w:pPr>
      <w:r w:rsidRPr="00EA7E3A">
        <w:t>Обязанность главных распорядителей, получателей средств бюджета городского округа Кинешма, бюджетных и автономных учреждений в этом направлении заключается в следующем:</w:t>
      </w:r>
    </w:p>
    <w:p w:rsidR="00BC46EE" w:rsidRPr="00EA7E3A" w:rsidRDefault="00BC46EE" w:rsidP="00BC46EE">
      <w:pPr>
        <w:pStyle w:val="2"/>
        <w:shd w:val="clear" w:color="auto" w:fill="auto"/>
        <w:spacing w:before="0" w:after="0"/>
        <w:ind w:right="20" w:firstLine="708"/>
        <w:jc w:val="both"/>
        <w:rPr>
          <w:sz w:val="28"/>
          <w:szCs w:val="28"/>
        </w:rPr>
      </w:pPr>
      <w:r w:rsidRPr="00EA7E3A">
        <w:rPr>
          <w:sz w:val="28"/>
          <w:szCs w:val="28"/>
        </w:rPr>
        <w:t>- своевременно в установленном законодательством порядке проводить работу с контрагентами по погашению имеющейся дебиторской задолженности, в том числе в судебном порядке;</w:t>
      </w:r>
    </w:p>
    <w:p w:rsidR="00BC46EE" w:rsidRPr="00EA7E3A" w:rsidRDefault="00BC46EE" w:rsidP="00BC46EE">
      <w:pPr>
        <w:pStyle w:val="a9"/>
        <w:spacing w:line="307" w:lineRule="exact"/>
        <w:ind w:left="0" w:right="20" w:firstLine="720"/>
        <w:jc w:val="both"/>
      </w:pPr>
      <w:r w:rsidRPr="00EA7E3A">
        <w:rPr>
          <w:rStyle w:val="0pt"/>
          <w:sz w:val="28"/>
          <w:szCs w:val="28"/>
        </w:rPr>
        <w:t>- осуществлять оперативный мониторинг задолженности на основании данных по состоянию на первое число месяца, следующего за отчетным кварталом</w:t>
      </w:r>
      <w:r w:rsidR="00F30D14">
        <w:rPr>
          <w:rStyle w:val="0pt"/>
          <w:sz w:val="28"/>
          <w:szCs w:val="28"/>
        </w:rPr>
        <w:t>,</w:t>
      </w:r>
      <w:r w:rsidRPr="00EA7E3A">
        <w:rPr>
          <w:rStyle w:val="0pt"/>
          <w:sz w:val="28"/>
          <w:szCs w:val="28"/>
        </w:rPr>
        <w:t xml:space="preserve"> на предмет  выявления отклонений задолженности на текущую отчетную дату от обоснованной задолженности на начало года;</w:t>
      </w:r>
    </w:p>
    <w:p w:rsidR="00BC46EE" w:rsidRPr="00EA7E3A" w:rsidRDefault="00BC46EE" w:rsidP="00BC46EE">
      <w:pPr>
        <w:pStyle w:val="a9"/>
        <w:spacing w:line="307" w:lineRule="exact"/>
        <w:ind w:left="0" w:right="20" w:firstLine="720"/>
        <w:jc w:val="both"/>
        <w:rPr>
          <w:rStyle w:val="0pt"/>
          <w:sz w:val="28"/>
          <w:szCs w:val="28"/>
        </w:rPr>
      </w:pPr>
      <w:r w:rsidRPr="00EA7E3A">
        <w:rPr>
          <w:rStyle w:val="0pt"/>
          <w:sz w:val="28"/>
          <w:szCs w:val="28"/>
        </w:rPr>
        <w:t>- проводить анализ причин возникновения увеличения задолженности; принимать меры, направленные на недопущение увеличения задолженности.</w:t>
      </w:r>
    </w:p>
    <w:p w:rsidR="006E051B" w:rsidRDefault="006E051B" w:rsidP="00BC46EE">
      <w:pPr>
        <w:autoSpaceDE w:val="0"/>
        <w:autoSpaceDN w:val="0"/>
        <w:adjustRightInd w:val="0"/>
        <w:ind w:firstLine="709"/>
        <w:jc w:val="both"/>
      </w:pPr>
      <w:bookmarkStart w:id="3" w:name="sub_158012"/>
    </w:p>
    <w:p w:rsidR="006E051B" w:rsidRPr="00EE6420" w:rsidRDefault="001B3F0C" w:rsidP="00EE6420">
      <w:pPr>
        <w:jc w:val="center"/>
        <w:rPr>
          <w:rFonts w:eastAsiaTheme="minorHAnsi"/>
          <w:b/>
          <w:szCs w:val="22"/>
          <w:lang w:eastAsia="en-US"/>
        </w:rPr>
      </w:pPr>
      <w:r>
        <w:rPr>
          <w:rFonts w:eastAsiaTheme="minorHAnsi"/>
          <w:b/>
          <w:szCs w:val="22"/>
          <w:lang w:eastAsia="en-US"/>
        </w:rPr>
        <w:t>5</w:t>
      </w:r>
      <w:r w:rsidR="00EE6420" w:rsidRPr="00EE6420">
        <w:rPr>
          <w:rFonts w:eastAsiaTheme="minorHAnsi"/>
          <w:b/>
          <w:szCs w:val="22"/>
          <w:lang w:eastAsia="en-US"/>
        </w:rPr>
        <w:t>.</w:t>
      </w:r>
      <w:r w:rsidR="00EE6420">
        <w:rPr>
          <w:rFonts w:eastAsiaTheme="minorHAnsi"/>
          <w:b/>
          <w:szCs w:val="22"/>
          <w:lang w:eastAsia="en-US"/>
        </w:rPr>
        <w:t xml:space="preserve"> </w:t>
      </w:r>
      <w:r w:rsidR="006E051B" w:rsidRPr="00EE6420">
        <w:rPr>
          <w:rFonts w:eastAsiaTheme="minorHAnsi"/>
          <w:b/>
          <w:szCs w:val="22"/>
          <w:lang w:eastAsia="en-US"/>
        </w:rPr>
        <w:t xml:space="preserve">Основные направления </w:t>
      </w:r>
    </w:p>
    <w:p w:rsidR="006E051B" w:rsidRPr="006E051B" w:rsidRDefault="006E051B" w:rsidP="006E051B">
      <w:pPr>
        <w:jc w:val="center"/>
        <w:rPr>
          <w:rFonts w:eastAsiaTheme="minorHAnsi"/>
          <w:b/>
          <w:szCs w:val="22"/>
          <w:lang w:eastAsia="en-US"/>
        </w:rPr>
      </w:pPr>
      <w:r w:rsidRPr="006E051B">
        <w:rPr>
          <w:rFonts w:eastAsiaTheme="minorHAnsi"/>
          <w:b/>
          <w:szCs w:val="22"/>
          <w:lang w:eastAsia="en-US"/>
        </w:rPr>
        <w:t xml:space="preserve">долговой политики городского округа Кинешма </w:t>
      </w:r>
    </w:p>
    <w:p w:rsidR="006E051B" w:rsidRPr="006E051B" w:rsidRDefault="006E051B" w:rsidP="006E051B">
      <w:pPr>
        <w:jc w:val="center"/>
        <w:rPr>
          <w:rFonts w:eastAsiaTheme="minorHAnsi"/>
          <w:b/>
          <w:szCs w:val="22"/>
          <w:lang w:eastAsia="en-US"/>
        </w:rPr>
      </w:pPr>
    </w:p>
    <w:p w:rsid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Основные направления долговой политики городского округа Кинешма на 202</w:t>
      </w:r>
      <w:r w:rsidR="00752AC0">
        <w:rPr>
          <w:rFonts w:eastAsiaTheme="minorHAnsi"/>
          <w:szCs w:val="22"/>
          <w:lang w:eastAsia="en-US"/>
        </w:rPr>
        <w:t>4</w:t>
      </w:r>
      <w:r w:rsidRPr="006E051B">
        <w:rPr>
          <w:rFonts w:eastAsiaTheme="minorHAnsi"/>
          <w:szCs w:val="22"/>
          <w:lang w:eastAsia="en-US"/>
        </w:rPr>
        <w:t xml:space="preserve"> год и на плановый период 202</w:t>
      </w:r>
      <w:r w:rsidR="00752AC0">
        <w:rPr>
          <w:rFonts w:eastAsiaTheme="minorHAnsi"/>
          <w:szCs w:val="22"/>
          <w:lang w:eastAsia="en-US"/>
        </w:rPr>
        <w:t>5</w:t>
      </w:r>
      <w:r w:rsidRPr="006E051B">
        <w:rPr>
          <w:rFonts w:eastAsiaTheme="minorHAnsi"/>
          <w:szCs w:val="22"/>
          <w:lang w:eastAsia="en-US"/>
        </w:rPr>
        <w:t xml:space="preserve"> и 202</w:t>
      </w:r>
      <w:r w:rsidR="00752AC0">
        <w:rPr>
          <w:rFonts w:eastAsiaTheme="minorHAnsi"/>
          <w:szCs w:val="22"/>
          <w:lang w:eastAsia="en-US"/>
        </w:rPr>
        <w:t>6</w:t>
      </w:r>
      <w:r w:rsidRPr="006E051B">
        <w:rPr>
          <w:rFonts w:eastAsiaTheme="minorHAnsi"/>
          <w:szCs w:val="22"/>
          <w:lang w:eastAsia="en-US"/>
        </w:rPr>
        <w:t xml:space="preserve"> годов (далее - Долговая политика) разработаны в соответствии со статьей 107.1 Бюджетного кодекса в целях реализации ответственной Долговой политики и повышения ее эффективности. </w:t>
      </w:r>
    </w:p>
    <w:p w:rsidR="006E051B" w:rsidRPr="006E051B" w:rsidRDefault="006E051B" w:rsidP="00752AC0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Итоги реализации Долговой политики</w:t>
      </w:r>
      <w:r w:rsidR="00752AC0">
        <w:rPr>
          <w:rFonts w:eastAsiaTheme="minorHAnsi"/>
          <w:szCs w:val="22"/>
          <w:lang w:eastAsia="en-US"/>
        </w:rPr>
        <w:t xml:space="preserve"> по итогам отчетного года следующие.</w:t>
      </w:r>
    </w:p>
    <w:p w:rsidR="006E051B" w:rsidRPr="006E051B" w:rsidRDefault="002E0CAA" w:rsidP="00752AC0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</w:t>
      </w:r>
      <w:r w:rsidR="006E051B" w:rsidRPr="006E051B">
        <w:rPr>
          <w:rFonts w:eastAsiaTheme="minorHAnsi"/>
          <w:szCs w:val="22"/>
          <w:lang w:eastAsia="en-US"/>
        </w:rPr>
        <w:t>.1. Долговая политика в 202</w:t>
      </w:r>
      <w:r w:rsidR="00752AC0">
        <w:rPr>
          <w:rFonts w:eastAsiaTheme="minorHAnsi"/>
          <w:szCs w:val="22"/>
          <w:lang w:eastAsia="en-US"/>
        </w:rPr>
        <w:t>2</w:t>
      </w:r>
      <w:r w:rsidR="006E051B" w:rsidRPr="006E051B">
        <w:rPr>
          <w:rFonts w:eastAsiaTheme="minorHAnsi"/>
          <w:szCs w:val="22"/>
          <w:lang w:eastAsia="en-US"/>
        </w:rPr>
        <w:t xml:space="preserve"> году была направлена на такие цели, как повышение уровня долговой устойчивости, сдерживание роста расходов на обслуживание муниципального долга путем рефинансирования действующих долговых обязательств, привлечени</w:t>
      </w:r>
      <w:r w:rsidR="00752AC0">
        <w:rPr>
          <w:rFonts w:eastAsiaTheme="minorHAnsi"/>
          <w:szCs w:val="22"/>
          <w:lang w:eastAsia="en-US"/>
        </w:rPr>
        <w:t>я</w:t>
      </w:r>
      <w:r w:rsidR="006E051B" w:rsidRPr="006E051B">
        <w:rPr>
          <w:rFonts w:eastAsiaTheme="minorHAnsi"/>
          <w:szCs w:val="22"/>
          <w:lang w:eastAsia="en-US"/>
        </w:rPr>
        <w:t xml:space="preserve"> бюджетных кредитов. </w:t>
      </w:r>
    </w:p>
    <w:p w:rsidR="00BB5495" w:rsidRDefault="002E0CAA" w:rsidP="005F409E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</w:t>
      </w:r>
      <w:r w:rsidR="006E051B" w:rsidRPr="006E051B">
        <w:rPr>
          <w:rFonts w:eastAsiaTheme="minorHAnsi"/>
          <w:szCs w:val="22"/>
          <w:lang w:eastAsia="en-US"/>
        </w:rPr>
        <w:t>.2. По итогам 202</w:t>
      </w:r>
      <w:r w:rsidR="005F409E">
        <w:rPr>
          <w:rFonts w:eastAsiaTheme="minorHAnsi"/>
          <w:szCs w:val="22"/>
          <w:lang w:eastAsia="en-US"/>
        </w:rPr>
        <w:t>2</w:t>
      </w:r>
      <w:r w:rsidR="006E051B" w:rsidRPr="006E051B">
        <w:rPr>
          <w:rFonts w:eastAsiaTheme="minorHAnsi"/>
          <w:szCs w:val="22"/>
          <w:lang w:eastAsia="en-US"/>
        </w:rPr>
        <w:t xml:space="preserve"> года муниципальный долг городского округа Кинешма составил </w:t>
      </w:r>
      <w:r w:rsidR="005F409E">
        <w:rPr>
          <w:rFonts w:eastAsiaTheme="minorHAnsi"/>
          <w:szCs w:val="22"/>
          <w:lang w:eastAsia="en-US"/>
        </w:rPr>
        <w:t>176</w:t>
      </w:r>
      <w:r w:rsidR="006E051B" w:rsidRPr="006E051B">
        <w:rPr>
          <w:rFonts w:eastAsiaTheme="minorHAnsi"/>
          <w:szCs w:val="22"/>
          <w:lang w:eastAsia="en-US"/>
        </w:rPr>
        <w:t xml:space="preserve">,4 млн. рублей, или </w:t>
      </w:r>
      <w:r w:rsidR="005F409E">
        <w:rPr>
          <w:rFonts w:eastAsiaTheme="minorHAnsi"/>
          <w:szCs w:val="22"/>
          <w:lang w:eastAsia="en-US"/>
        </w:rPr>
        <w:t>41</w:t>
      </w:r>
      <w:r w:rsidR="006E051B" w:rsidRPr="006E051B">
        <w:rPr>
          <w:rFonts w:eastAsiaTheme="minorHAnsi"/>
          <w:szCs w:val="22"/>
          <w:lang w:eastAsia="en-US"/>
        </w:rPr>
        <w:t xml:space="preserve"> % к общему годовому объему доходов бюджета городского округа без учета объема безвозмездных поступлений. Структура долгового портфеля: </w:t>
      </w:r>
    </w:p>
    <w:p w:rsidR="00BB5495" w:rsidRDefault="00BB5495" w:rsidP="005F409E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- </w:t>
      </w:r>
      <w:r w:rsidR="005F409E">
        <w:rPr>
          <w:rFonts w:eastAsiaTheme="minorHAnsi"/>
          <w:szCs w:val="22"/>
          <w:lang w:eastAsia="en-US"/>
        </w:rPr>
        <w:t xml:space="preserve">бюджетные </w:t>
      </w:r>
      <w:r w:rsidR="006E051B" w:rsidRPr="006E051B">
        <w:rPr>
          <w:rFonts w:eastAsiaTheme="minorHAnsi"/>
          <w:szCs w:val="22"/>
          <w:lang w:eastAsia="en-US"/>
        </w:rPr>
        <w:t>кредиты</w:t>
      </w:r>
      <w:r w:rsidR="005F409E">
        <w:rPr>
          <w:rFonts w:eastAsiaTheme="minorHAnsi"/>
          <w:szCs w:val="22"/>
          <w:lang w:eastAsia="en-US"/>
        </w:rPr>
        <w:t xml:space="preserve"> от Департамента финансов Ивановской области по ставке 0,1% годовых </w:t>
      </w:r>
      <w:r w:rsidR="005F409E" w:rsidRPr="005F409E">
        <w:rPr>
          <w:rFonts w:eastAsiaTheme="minorHAnsi"/>
          <w:szCs w:val="22"/>
          <w:lang w:eastAsia="en-US"/>
        </w:rPr>
        <w:t>для погашения долговых обязательств по рыночным заимствованиям</w:t>
      </w:r>
      <w:r w:rsidR="005F409E">
        <w:rPr>
          <w:rFonts w:eastAsiaTheme="minorHAnsi"/>
          <w:szCs w:val="22"/>
          <w:lang w:eastAsia="en-US"/>
        </w:rPr>
        <w:t xml:space="preserve"> в сумме 151,8 млн. рублей или 86%</w:t>
      </w:r>
      <w:r>
        <w:rPr>
          <w:rFonts w:eastAsiaTheme="minorHAnsi"/>
          <w:szCs w:val="22"/>
          <w:lang w:eastAsia="en-US"/>
        </w:rPr>
        <w:t>;</w:t>
      </w:r>
    </w:p>
    <w:p w:rsidR="006E051B" w:rsidRPr="006E051B" w:rsidRDefault="00BB5495" w:rsidP="005F409E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-  </w:t>
      </w:r>
      <w:r w:rsidR="006E051B" w:rsidRPr="006E051B">
        <w:rPr>
          <w:rFonts w:eastAsiaTheme="minorHAnsi"/>
          <w:szCs w:val="22"/>
          <w:lang w:eastAsia="en-US"/>
        </w:rPr>
        <w:t xml:space="preserve">бюджетный кредит от Департамента финансов Ивановской области на покрытие дефицита бюджета – </w:t>
      </w:r>
      <w:r w:rsidR="005F409E">
        <w:rPr>
          <w:rFonts w:eastAsiaTheme="minorHAnsi"/>
          <w:szCs w:val="22"/>
          <w:lang w:eastAsia="en-US"/>
        </w:rPr>
        <w:t>24,6</w:t>
      </w:r>
      <w:r w:rsidR="006E051B" w:rsidRPr="006E051B">
        <w:rPr>
          <w:rFonts w:eastAsiaTheme="minorHAnsi"/>
          <w:szCs w:val="22"/>
          <w:lang w:eastAsia="en-US"/>
        </w:rPr>
        <w:t xml:space="preserve"> млн. рублей или 1</w:t>
      </w:r>
      <w:r w:rsidR="005F409E">
        <w:rPr>
          <w:rFonts w:eastAsiaTheme="minorHAnsi"/>
          <w:szCs w:val="22"/>
          <w:lang w:eastAsia="en-US"/>
        </w:rPr>
        <w:t>4</w:t>
      </w:r>
      <w:r w:rsidR="006E051B" w:rsidRPr="006E051B">
        <w:rPr>
          <w:rFonts w:eastAsiaTheme="minorHAnsi"/>
          <w:szCs w:val="22"/>
          <w:lang w:eastAsia="en-US"/>
        </w:rPr>
        <w:t xml:space="preserve">%.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С 2019 года в городском округе Кинешма проводилась кредитная политика, направленная на сокращение объема муниципального долга и снижение его доли к объему налоговых и неналоговых доходов бюджета с целью повышения уровня долговой устойчивости муниципалитета.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lastRenderedPageBreak/>
        <w:t>По состоянию на 01.01.2020 муниципальный долг составлял 235,0 млн. рублей. За 2020 год был погашен коммерческий кр</w:t>
      </w:r>
      <w:r w:rsidR="005F409E">
        <w:rPr>
          <w:rFonts w:eastAsiaTheme="minorHAnsi"/>
          <w:szCs w:val="22"/>
          <w:lang w:eastAsia="en-US"/>
        </w:rPr>
        <w:t>едит в сумме 50,5 млн. рублей,</w:t>
      </w:r>
      <w:r w:rsidRPr="006E051B">
        <w:rPr>
          <w:rFonts w:eastAsiaTheme="minorHAnsi"/>
          <w:szCs w:val="22"/>
          <w:lang w:eastAsia="en-US"/>
        </w:rPr>
        <w:t xml:space="preserve"> в</w:t>
      </w:r>
      <w:r w:rsidR="005F409E">
        <w:rPr>
          <w:rFonts w:eastAsiaTheme="minorHAnsi"/>
          <w:szCs w:val="22"/>
          <w:lang w:eastAsia="en-US"/>
        </w:rPr>
        <w:t xml:space="preserve"> 2021 – в сумме 1,1 млн. рублей, а в 2022 году – 7,0 млн. рублей.</w:t>
      </w:r>
      <w:r w:rsidRPr="006E051B">
        <w:rPr>
          <w:rFonts w:eastAsiaTheme="minorHAnsi"/>
          <w:szCs w:val="22"/>
          <w:lang w:eastAsia="en-US"/>
        </w:rPr>
        <w:t xml:space="preserve">  В целом муниципальный долг за </w:t>
      </w:r>
      <w:r w:rsidR="005F409E">
        <w:rPr>
          <w:rFonts w:eastAsiaTheme="minorHAnsi"/>
          <w:szCs w:val="22"/>
          <w:lang w:eastAsia="en-US"/>
        </w:rPr>
        <w:t>4 года сократился на 58</w:t>
      </w:r>
      <w:r w:rsidRPr="006E051B">
        <w:rPr>
          <w:rFonts w:eastAsiaTheme="minorHAnsi"/>
          <w:szCs w:val="22"/>
          <w:lang w:eastAsia="en-US"/>
        </w:rPr>
        <w:t>,6 млн. рублей и составил на 01.01.202</w:t>
      </w:r>
      <w:r w:rsidR="005F409E">
        <w:rPr>
          <w:rFonts w:eastAsiaTheme="minorHAnsi"/>
          <w:szCs w:val="22"/>
          <w:lang w:eastAsia="en-US"/>
        </w:rPr>
        <w:t>3</w:t>
      </w:r>
      <w:r w:rsidRPr="006E051B">
        <w:rPr>
          <w:rFonts w:eastAsiaTheme="minorHAnsi"/>
          <w:szCs w:val="22"/>
          <w:lang w:eastAsia="en-US"/>
        </w:rPr>
        <w:t xml:space="preserve"> 1</w:t>
      </w:r>
      <w:r w:rsidR="005F409E">
        <w:rPr>
          <w:rFonts w:eastAsiaTheme="minorHAnsi"/>
          <w:szCs w:val="22"/>
          <w:lang w:eastAsia="en-US"/>
        </w:rPr>
        <w:t>76</w:t>
      </w:r>
      <w:r w:rsidRPr="006E051B">
        <w:rPr>
          <w:rFonts w:eastAsiaTheme="minorHAnsi"/>
          <w:szCs w:val="22"/>
          <w:lang w:eastAsia="en-US"/>
        </w:rPr>
        <w:t xml:space="preserve">,4 млн. рублей или </w:t>
      </w:r>
      <w:r w:rsidR="005F409E">
        <w:rPr>
          <w:rFonts w:eastAsiaTheme="minorHAnsi"/>
          <w:szCs w:val="22"/>
          <w:lang w:eastAsia="en-US"/>
        </w:rPr>
        <w:t>41</w:t>
      </w:r>
      <w:r w:rsidRPr="006E051B">
        <w:rPr>
          <w:rFonts w:eastAsiaTheme="minorHAnsi"/>
          <w:szCs w:val="22"/>
          <w:lang w:eastAsia="en-US"/>
        </w:rPr>
        <w:t>% от суммы налоговых и неналоговых доходов.</w:t>
      </w:r>
    </w:p>
    <w:p w:rsidR="006E051B" w:rsidRPr="006E051B" w:rsidRDefault="002E0CAA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</w:t>
      </w:r>
      <w:r w:rsidR="006E051B" w:rsidRPr="006E051B">
        <w:rPr>
          <w:rFonts w:eastAsiaTheme="minorHAnsi"/>
          <w:szCs w:val="22"/>
          <w:lang w:eastAsia="en-US"/>
        </w:rPr>
        <w:t>.3. В 202</w:t>
      </w:r>
      <w:r w:rsidR="005F409E">
        <w:rPr>
          <w:rFonts w:eastAsiaTheme="minorHAnsi"/>
          <w:szCs w:val="22"/>
          <w:lang w:eastAsia="en-US"/>
        </w:rPr>
        <w:t>2</w:t>
      </w:r>
      <w:r w:rsidR="006E051B" w:rsidRPr="006E051B">
        <w:rPr>
          <w:rFonts w:eastAsiaTheme="minorHAnsi"/>
          <w:szCs w:val="22"/>
          <w:lang w:eastAsia="en-US"/>
        </w:rPr>
        <w:t xml:space="preserve"> году городским округом реализованы мероприятия по оптимизации объема и структуры муниципального долга городского округа Кинешма: </w:t>
      </w:r>
    </w:p>
    <w:p w:rsidR="00AA2F50" w:rsidRPr="006E051B" w:rsidRDefault="006E051B" w:rsidP="00AA2F50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привлечен</w:t>
      </w:r>
      <w:r w:rsidR="005F409E">
        <w:rPr>
          <w:rFonts w:eastAsiaTheme="minorHAnsi"/>
          <w:szCs w:val="22"/>
          <w:lang w:eastAsia="en-US"/>
        </w:rPr>
        <w:t>ы</w:t>
      </w:r>
      <w:r w:rsidRPr="006E051B">
        <w:rPr>
          <w:rFonts w:eastAsiaTheme="minorHAnsi"/>
          <w:szCs w:val="22"/>
          <w:lang w:eastAsia="en-US"/>
        </w:rPr>
        <w:t xml:space="preserve"> бюджетны</w:t>
      </w:r>
      <w:r w:rsidR="005F409E">
        <w:rPr>
          <w:rFonts w:eastAsiaTheme="minorHAnsi"/>
          <w:szCs w:val="22"/>
          <w:lang w:eastAsia="en-US"/>
        </w:rPr>
        <w:t>е</w:t>
      </w:r>
      <w:r w:rsidRPr="006E051B">
        <w:rPr>
          <w:rFonts w:eastAsiaTheme="minorHAnsi"/>
          <w:szCs w:val="22"/>
          <w:lang w:eastAsia="en-US"/>
        </w:rPr>
        <w:t xml:space="preserve"> кредит</w:t>
      </w:r>
      <w:r w:rsidR="005F409E">
        <w:rPr>
          <w:rFonts w:eastAsiaTheme="minorHAnsi"/>
          <w:szCs w:val="22"/>
          <w:lang w:eastAsia="en-US"/>
        </w:rPr>
        <w:t>ы</w:t>
      </w:r>
      <w:r w:rsidRPr="006E051B">
        <w:rPr>
          <w:rFonts w:eastAsiaTheme="minorHAnsi"/>
          <w:szCs w:val="22"/>
          <w:lang w:eastAsia="en-US"/>
        </w:rPr>
        <w:t xml:space="preserve"> от Департамента финансов Ивановской области в </w:t>
      </w:r>
      <w:r w:rsidR="005F409E">
        <w:rPr>
          <w:rFonts w:eastAsiaTheme="minorHAnsi"/>
          <w:szCs w:val="22"/>
          <w:lang w:eastAsia="en-US"/>
        </w:rPr>
        <w:t xml:space="preserve">общей </w:t>
      </w:r>
      <w:r w:rsidRPr="006E051B">
        <w:rPr>
          <w:rFonts w:eastAsiaTheme="minorHAnsi"/>
          <w:szCs w:val="22"/>
          <w:lang w:eastAsia="en-US"/>
        </w:rPr>
        <w:t xml:space="preserve">сумме </w:t>
      </w:r>
      <w:r w:rsidR="005F409E">
        <w:rPr>
          <w:rFonts w:eastAsiaTheme="minorHAnsi"/>
          <w:szCs w:val="22"/>
          <w:lang w:eastAsia="en-US"/>
        </w:rPr>
        <w:t>151,8</w:t>
      </w:r>
      <w:r w:rsidRPr="006E051B">
        <w:rPr>
          <w:rFonts w:eastAsiaTheme="minorHAnsi"/>
          <w:szCs w:val="22"/>
          <w:lang w:eastAsia="en-US"/>
        </w:rPr>
        <w:t xml:space="preserve"> млн. рублей по ставке </w:t>
      </w:r>
      <w:r w:rsidR="005F409E">
        <w:rPr>
          <w:rFonts w:eastAsiaTheme="minorHAnsi"/>
          <w:szCs w:val="22"/>
          <w:lang w:eastAsia="en-US"/>
        </w:rPr>
        <w:t>0,1</w:t>
      </w:r>
      <w:r w:rsidRPr="006E051B">
        <w:rPr>
          <w:rFonts w:eastAsiaTheme="minorHAnsi"/>
          <w:szCs w:val="22"/>
          <w:lang w:eastAsia="en-US"/>
        </w:rPr>
        <w:t>% годовых</w:t>
      </w:r>
      <w:r w:rsidR="00AA2F50">
        <w:rPr>
          <w:rFonts w:eastAsiaTheme="minorHAnsi"/>
          <w:szCs w:val="22"/>
          <w:lang w:eastAsia="en-US"/>
        </w:rPr>
        <w:t xml:space="preserve"> с графиком погашения равными долями в период с 2025 по 2027 гг.,</w:t>
      </w:r>
      <w:r w:rsidR="005F409E">
        <w:rPr>
          <w:rFonts w:eastAsiaTheme="minorHAnsi"/>
          <w:szCs w:val="22"/>
          <w:lang w:eastAsia="en-US"/>
        </w:rPr>
        <w:t xml:space="preserve"> и за счет этих сре</w:t>
      </w:r>
      <w:proofErr w:type="gramStart"/>
      <w:r w:rsidR="005F409E">
        <w:rPr>
          <w:rFonts w:eastAsiaTheme="minorHAnsi"/>
          <w:szCs w:val="22"/>
          <w:lang w:eastAsia="en-US"/>
        </w:rPr>
        <w:t>дств в п</w:t>
      </w:r>
      <w:proofErr w:type="gramEnd"/>
      <w:r w:rsidR="005F409E">
        <w:rPr>
          <w:rFonts w:eastAsiaTheme="minorHAnsi"/>
          <w:szCs w:val="22"/>
          <w:lang w:eastAsia="en-US"/>
        </w:rPr>
        <w:t>олном объеме погашены кредиты коммерческим банкам</w:t>
      </w:r>
      <w:r w:rsidR="00AA2F50">
        <w:rPr>
          <w:rFonts w:eastAsiaTheme="minorHAnsi"/>
          <w:szCs w:val="22"/>
          <w:lang w:eastAsia="en-US"/>
        </w:rPr>
        <w:t>.</w:t>
      </w:r>
      <w:r w:rsidR="00AA2F50" w:rsidRPr="00AA2F50">
        <w:rPr>
          <w:rFonts w:eastAsiaTheme="minorHAnsi"/>
          <w:szCs w:val="22"/>
          <w:lang w:eastAsia="en-US"/>
        </w:rPr>
        <w:t xml:space="preserve"> </w:t>
      </w:r>
      <w:r w:rsidR="00AA2F50" w:rsidRPr="006E051B">
        <w:rPr>
          <w:rFonts w:eastAsiaTheme="minorHAnsi"/>
          <w:szCs w:val="22"/>
          <w:lang w:eastAsia="en-US"/>
        </w:rPr>
        <w:t>Данная мера позволит значительно сократить расходы на обслуживание муниципального долга в предстоящем бюджетном цикле, повысит</w:t>
      </w:r>
      <w:r w:rsidR="008C17D8">
        <w:rPr>
          <w:rFonts w:eastAsiaTheme="minorHAnsi"/>
          <w:szCs w:val="22"/>
          <w:lang w:eastAsia="en-US"/>
        </w:rPr>
        <w:t>ь</w:t>
      </w:r>
      <w:r w:rsidR="00AA2F50" w:rsidRPr="006E051B">
        <w:rPr>
          <w:rFonts w:eastAsiaTheme="minorHAnsi"/>
          <w:szCs w:val="22"/>
          <w:lang w:eastAsia="en-US"/>
        </w:rPr>
        <w:t xml:space="preserve"> уровень долговой устойчивости, а также снизит</w:t>
      </w:r>
      <w:r w:rsidR="008C17D8">
        <w:rPr>
          <w:rFonts w:eastAsiaTheme="minorHAnsi"/>
          <w:szCs w:val="22"/>
          <w:lang w:eastAsia="en-US"/>
        </w:rPr>
        <w:t>ь</w:t>
      </w:r>
      <w:r w:rsidR="00AA2F50" w:rsidRPr="006E051B">
        <w:rPr>
          <w:rFonts w:eastAsiaTheme="minorHAnsi"/>
          <w:szCs w:val="22"/>
          <w:lang w:eastAsia="en-US"/>
        </w:rPr>
        <w:t xml:space="preserve"> риски рефинансирования. В свою очередь, кредитны</w:t>
      </w:r>
      <w:r w:rsidR="00AA2F50">
        <w:rPr>
          <w:rFonts w:eastAsiaTheme="minorHAnsi"/>
          <w:szCs w:val="22"/>
          <w:lang w:eastAsia="en-US"/>
        </w:rPr>
        <w:t>е</w:t>
      </w:r>
      <w:r w:rsidR="00AA2F50" w:rsidRPr="006E051B">
        <w:rPr>
          <w:rFonts w:eastAsiaTheme="minorHAnsi"/>
          <w:szCs w:val="22"/>
          <w:lang w:eastAsia="en-US"/>
        </w:rPr>
        <w:t xml:space="preserve"> договор</w:t>
      </w:r>
      <w:r w:rsidR="00AA2F50">
        <w:rPr>
          <w:rFonts w:eastAsiaTheme="minorHAnsi"/>
          <w:szCs w:val="22"/>
          <w:lang w:eastAsia="en-US"/>
        </w:rPr>
        <w:t>ы</w:t>
      </w:r>
      <w:r w:rsidR="00AA2F50" w:rsidRPr="006E051B">
        <w:rPr>
          <w:rFonts w:eastAsiaTheme="minorHAnsi"/>
          <w:szCs w:val="22"/>
          <w:lang w:eastAsia="en-US"/>
        </w:rPr>
        <w:t xml:space="preserve"> содерж</w:t>
      </w:r>
      <w:r w:rsidR="00AA2F50">
        <w:rPr>
          <w:rFonts w:eastAsiaTheme="minorHAnsi"/>
          <w:szCs w:val="22"/>
          <w:lang w:eastAsia="en-US"/>
        </w:rPr>
        <w:t>а</w:t>
      </w:r>
      <w:r w:rsidR="00AA2F50" w:rsidRPr="006E051B">
        <w:rPr>
          <w:rFonts w:eastAsiaTheme="minorHAnsi"/>
          <w:szCs w:val="22"/>
          <w:lang w:eastAsia="en-US"/>
        </w:rPr>
        <w:t>т ряд ограничений для муниципального образования, несоблюдение которых приведет к возврату сумм</w:t>
      </w:r>
      <w:r w:rsidR="00AA2F50">
        <w:rPr>
          <w:rFonts w:eastAsiaTheme="minorHAnsi"/>
          <w:szCs w:val="22"/>
          <w:lang w:eastAsia="en-US"/>
        </w:rPr>
        <w:t xml:space="preserve"> предоставленных</w:t>
      </w:r>
      <w:r w:rsidR="00AA2F50" w:rsidRPr="006E051B">
        <w:rPr>
          <w:rFonts w:eastAsiaTheme="minorHAnsi"/>
          <w:szCs w:val="22"/>
          <w:lang w:eastAsia="en-US"/>
        </w:rPr>
        <w:t xml:space="preserve"> кредит</w:t>
      </w:r>
      <w:r w:rsidR="00AA2F50">
        <w:rPr>
          <w:rFonts w:eastAsiaTheme="minorHAnsi"/>
          <w:szCs w:val="22"/>
          <w:lang w:eastAsia="en-US"/>
        </w:rPr>
        <w:t>ов;</w:t>
      </w:r>
    </w:p>
    <w:p w:rsid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за счет оптимизации расходов и ведения взвешенной бюджетной политики погашена часть </w:t>
      </w:r>
      <w:r w:rsidR="005F409E">
        <w:rPr>
          <w:rFonts w:eastAsiaTheme="minorHAnsi"/>
          <w:szCs w:val="22"/>
          <w:lang w:eastAsia="en-US"/>
        </w:rPr>
        <w:t>бюджетного</w:t>
      </w:r>
      <w:r w:rsidRPr="006E051B">
        <w:rPr>
          <w:rFonts w:eastAsiaTheme="minorHAnsi"/>
          <w:szCs w:val="22"/>
          <w:lang w:eastAsia="en-US"/>
        </w:rPr>
        <w:t xml:space="preserve"> кредита в сумме </w:t>
      </w:r>
      <w:r w:rsidR="005F409E">
        <w:rPr>
          <w:rFonts w:eastAsiaTheme="minorHAnsi"/>
          <w:szCs w:val="22"/>
          <w:lang w:eastAsia="en-US"/>
        </w:rPr>
        <w:t xml:space="preserve">7,0 </w:t>
      </w:r>
      <w:r w:rsidRPr="006E051B">
        <w:rPr>
          <w:rFonts w:eastAsiaTheme="minorHAnsi"/>
          <w:szCs w:val="22"/>
          <w:lang w:eastAsia="en-US"/>
        </w:rPr>
        <w:t xml:space="preserve">млн. рублей по ставке </w:t>
      </w:r>
      <w:r w:rsidR="005F409E">
        <w:rPr>
          <w:rFonts w:eastAsiaTheme="minorHAnsi"/>
          <w:szCs w:val="22"/>
          <w:lang w:eastAsia="en-US"/>
        </w:rPr>
        <w:t>3,75</w:t>
      </w:r>
      <w:r w:rsidRPr="006E051B">
        <w:rPr>
          <w:rFonts w:eastAsiaTheme="minorHAnsi"/>
          <w:szCs w:val="22"/>
          <w:lang w:eastAsia="en-US"/>
        </w:rPr>
        <w:t>% годовых</w:t>
      </w:r>
      <w:r w:rsidR="005F409E">
        <w:rPr>
          <w:rFonts w:eastAsiaTheme="minorHAnsi"/>
          <w:szCs w:val="22"/>
          <w:lang w:eastAsia="en-US"/>
        </w:rPr>
        <w:t xml:space="preserve"> без привлечения заемных средств на данные цели</w:t>
      </w:r>
      <w:r w:rsidRPr="006E051B">
        <w:rPr>
          <w:rFonts w:eastAsiaTheme="minorHAnsi"/>
          <w:szCs w:val="22"/>
          <w:lang w:eastAsia="en-US"/>
        </w:rPr>
        <w:t>, и совокупный объем долговой нагрузки на бюджет по сравнению с 202</w:t>
      </w:r>
      <w:r w:rsidR="005F409E">
        <w:rPr>
          <w:rFonts w:eastAsiaTheme="minorHAnsi"/>
          <w:szCs w:val="22"/>
          <w:lang w:eastAsia="en-US"/>
        </w:rPr>
        <w:t>1</w:t>
      </w:r>
      <w:r w:rsidRPr="006E051B">
        <w:rPr>
          <w:rFonts w:eastAsiaTheme="minorHAnsi"/>
          <w:szCs w:val="22"/>
          <w:lang w:eastAsia="en-US"/>
        </w:rPr>
        <w:t xml:space="preserve"> годом снижен на </w:t>
      </w:r>
      <w:r w:rsidR="005F409E">
        <w:rPr>
          <w:rFonts w:eastAsiaTheme="minorHAnsi"/>
          <w:szCs w:val="22"/>
          <w:lang w:eastAsia="en-US"/>
        </w:rPr>
        <w:t>7,0 млн. рублей;</w:t>
      </w:r>
    </w:p>
    <w:p w:rsidR="005F409E" w:rsidRPr="006E051B" w:rsidRDefault="005F409E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- </w:t>
      </w:r>
      <w:r w:rsidR="002E0CAA">
        <w:rPr>
          <w:rFonts w:eastAsiaTheme="minorHAnsi"/>
          <w:szCs w:val="22"/>
          <w:lang w:eastAsia="en-US"/>
        </w:rPr>
        <w:t>проведена реструктуризация части задолженности по бюджетному кредиту на покрытие дефицита бюджета в сумме 3,0</w:t>
      </w:r>
      <w:r w:rsidR="000E0D01">
        <w:rPr>
          <w:rFonts w:eastAsiaTheme="minorHAnsi"/>
          <w:szCs w:val="22"/>
          <w:lang w:eastAsia="en-US"/>
        </w:rPr>
        <w:t xml:space="preserve"> млн.</w:t>
      </w:r>
      <w:r w:rsidR="002E0CAA">
        <w:rPr>
          <w:rFonts w:eastAsiaTheme="minorHAnsi"/>
          <w:szCs w:val="22"/>
          <w:lang w:eastAsia="en-US"/>
        </w:rPr>
        <w:t xml:space="preserve"> рублей с условием погашения данной суммы в 2024 и 2025 году равными частями.</w:t>
      </w:r>
    </w:p>
    <w:p w:rsidR="002E0CAA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В результате проведенных мероприятий объем средств на обслуживание долга</w:t>
      </w:r>
      <w:r w:rsidR="002E0CAA">
        <w:rPr>
          <w:rFonts w:eastAsiaTheme="minorHAnsi"/>
          <w:szCs w:val="22"/>
          <w:lang w:eastAsia="en-US"/>
        </w:rPr>
        <w:t xml:space="preserve"> в 2022</w:t>
      </w:r>
      <w:r w:rsidRPr="006E051B">
        <w:rPr>
          <w:rFonts w:eastAsiaTheme="minorHAnsi"/>
          <w:szCs w:val="22"/>
          <w:lang w:eastAsia="en-US"/>
        </w:rPr>
        <w:t xml:space="preserve"> сократился по сравнению с 202</w:t>
      </w:r>
      <w:r w:rsidR="002E0CAA">
        <w:rPr>
          <w:rFonts w:eastAsiaTheme="minorHAnsi"/>
          <w:szCs w:val="22"/>
          <w:lang w:eastAsia="en-US"/>
        </w:rPr>
        <w:t>1</w:t>
      </w:r>
      <w:r w:rsidRPr="006E051B">
        <w:rPr>
          <w:rFonts w:eastAsiaTheme="minorHAnsi"/>
          <w:szCs w:val="22"/>
          <w:lang w:eastAsia="en-US"/>
        </w:rPr>
        <w:t xml:space="preserve"> годом на 4</w:t>
      </w:r>
      <w:r w:rsidR="002E0CAA">
        <w:rPr>
          <w:rFonts w:eastAsiaTheme="minorHAnsi"/>
          <w:szCs w:val="22"/>
          <w:lang w:eastAsia="en-US"/>
        </w:rPr>
        <w:t xml:space="preserve">,6 млн. рублей и составил 4,6 млн. рублей. </w:t>
      </w:r>
    </w:p>
    <w:p w:rsidR="006E051B" w:rsidRPr="006E051B" w:rsidRDefault="002E0CAA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</w:t>
      </w:r>
      <w:r w:rsidR="006E051B" w:rsidRPr="006E051B">
        <w:rPr>
          <w:rFonts w:eastAsiaTheme="minorHAnsi"/>
          <w:szCs w:val="22"/>
          <w:lang w:eastAsia="en-US"/>
        </w:rPr>
        <w:t>.4. Расходы бюджета городского округа на обслуживание муниципального долга городского округа Кинешма по итогам 202</w:t>
      </w:r>
      <w:r>
        <w:rPr>
          <w:rFonts w:eastAsiaTheme="minorHAnsi"/>
          <w:szCs w:val="22"/>
          <w:lang w:eastAsia="en-US"/>
        </w:rPr>
        <w:t>3</w:t>
      </w:r>
      <w:r w:rsidR="006E051B" w:rsidRPr="006E051B">
        <w:rPr>
          <w:rFonts w:eastAsiaTheme="minorHAnsi"/>
          <w:szCs w:val="22"/>
          <w:lang w:eastAsia="en-US"/>
        </w:rPr>
        <w:t xml:space="preserve"> года состав</w:t>
      </w:r>
      <w:r>
        <w:rPr>
          <w:rFonts w:eastAsiaTheme="minorHAnsi"/>
          <w:szCs w:val="22"/>
          <w:lang w:eastAsia="en-US"/>
        </w:rPr>
        <w:t>ят по предварительной оценке не более 1,0</w:t>
      </w:r>
      <w:r w:rsidR="006E051B" w:rsidRPr="006E051B">
        <w:rPr>
          <w:rFonts w:eastAsiaTheme="minorHAnsi"/>
          <w:szCs w:val="22"/>
          <w:lang w:eastAsia="en-US"/>
        </w:rPr>
        <w:t xml:space="preserve"> млн. рублей, или </w:t>
      </w:r>
      <w:r>
        <w:rPr>
          <w:rFonts w:eastAsiaTheme="minorHAnsi"/>
          <w:szCs w:val="22"/>
          <w:lang w:eastAsia="en-US"/>
        </w:rPr>
        <w:t>0,04</w:t>
      </w:r>
      <w:r w:rsidR="006E051B" w:rsidRPr="006E051B">
        <w:rPr>
          <w:rFonts w:eastAsiaTheme="minorHAnsi"/>
          <w:szCs w:val="22"/>
          <w:lang w:eastAsia="en-US"/>
        </w:rPr>
        <w:t xml:space="preserve">% объема расходов бюджета городского округа, за исключением объема расходов, которые осуществляются за счет субвенций, предоставляемых из бюджетов вышестоящих уровней бюджетной системы. </w:t>
      </w:r>
    </w:p>
    <w:p w:rsidR="006E051B" w:rsidRPr="006E051B" w:rsidRDefault="00AA2F50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4.5</w:t>
      </w:r>
      <w:r w:rsidR="006E051B" w:rsidRPr="006E051B">
        <w:rPr>
          <w:rFonts w:eastAsiaTheme="minorHAnsi"/>
          <w:szCs w:val="22"/>
          <w:lang w:eastAsia="en-US"/>
        </w:rPr>
        <w:t xml:space="preserve">. Обязательства по обслуживанию муниципального долга городского округа Кинешма выполнялись своевременно и в полном объеме. </w:t>
      </w:r>
    </w:p>
    <w:p w:rsidR="006E051B" w:rsidRPr="006E051B" w:rsidRDefault="00F7532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4.6</w:t>
      </w:r>
      <w:r w:rsidR="006E051B" w:rsidRPr="006E051B">
        <w:rPr>
          <w:rFonts w:eastAsiaTheme="minorHAnsi"/>
          <w:szCs w:val="22"/>
          <w:lang w:eastAsia="en-US"/>
        </w:rPr>
        <w:t xml:space="preserve">. Основными факторами, определяющими характер и направления долговой политики городского округа Кинешма, являются: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ухудшение макроэкономических показателей в связи со сложной геополитической обстановкой;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 - низкий уровень роста налоговых и неналоговых доходов бюджета городского округа Кинешма;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lastRenderedPageBreak/>
        <w:t>- рост расходов бюджета городского округа Кинешма в связи с удорожанием стоимости материалов, товаров, работ и услуг;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нестабильная ситуация в банковском секторе и широкая амплитуда изменения ключевой ставки;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наличие до 2027 года ограничений, связанных с действием договоров на предоставление бюджетных кредитов</w:t>
      </w:r>
      <w:r w:rsidR="000E0D01">
        <w:rPr>
          <w:rFonts w:eastAsiaTheme="minorHAnsi"/>
          <w:szCs w:val="22"/>
          <w:lang w:eastAsia="en-US"/>
        </w:rPr>
        <w:t>.</w:t>
      </w:r>
    </w:p>
    <w:p w:rsidR="006E051B" w:rsidRPr="006E051B" w:rsidRDefault="00F7532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4.7</w:t>
      </w:r>
      <w:r w:rsidR="006E051B" w:rsidRPr="006E051B">
        <w:rPr>
          <w:rFonts w:eastAsiaTheme="minorHAnsi"/>
          <w:szCs w:val="22"/>
          <w:lang w:eastAsia="en-US"/>
        </w:rPr>
        <w:t xml:space="preserve">. Целями Долговой политики городского округа Кинешма являются: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стремление к достижению высокого уровня долговой устойчивости муниципального образования по всем критериям</w:t>
      </w:r>
      <w:r w:rsidR="00AA2F50">
        <w:rPr>
          <w:rFonts w:eastAsiaTheme="minorHAnsi"/>
          <w:szCs w:val="22"/>
          <w:lang w:eastAsia="en-US"/>
        </w:rPr>
        <w:t xml:space="preserve"> и </w:t>
      </w:r>
      <w:r w:rsidR="000E0D01">
        <w:rPr>
          <w:rFonts w:eastAsiaTheme="minorHAnsi"/>
          <w:szCs w:val="22"/>
          <w:lang w:eastAsia="en-US"/>
        </w:rPr>
        <w:t xml:space="preserve">поэтапному </w:t>
      </w:r>
      <w:r w:rsidR="00AA2F50">
        <w:rPr>
          <w:rFonts w:eastAsiaTheme="minorHAnsi"/>
          <w:szCs w:val="22"/>
          <w:lang w:eastAsia="en-US"/>
        </w:rPr>
        <w:t>сокращению совокупного объема кредитной массы</w:t>
      </w:r>
      <w:r w:rsidRPr="006E051B">
        <w:rPr>
          <w:rFonts w:eastAsiaTheme="minorHAnsi"/>
          <w:szCs w:val="22"/>
          <w:lang w:eastAsia="en-US"/>
        </w:rPr>
        <w:t xml:space="preserve">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недопущение нарушения условий договоров с Департаментом финансов Ивановской области на предоставление бюджетных кредитов;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своевременное исполнение долговых обязательств городского округа Кинешма;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обеспечение прозрачности процессов управления муниципальным долгом городского округа Кинешма. </w:t>
      </w:r>
    </w:p>
    <w:p w:rsidR="006E051B" w:rsidRPr="006E051B" w:rsidRDefault="00F7532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4.8</w:t>
      </w:r>
      <w:r w:rsidR="006E051B" w:rsidRPr="006E051B">
        <w:rPr>
          <w:rFonts w:eastAsiaTheme="minorHAnsi"/>
          <w:szCs w:val="22"/>
          <w:lang w:eastAsia="en-US"/>
        </w:rPr>
        <w:t xml:space="preserve">. Задачами долговой политики городского округа Кинешма являются: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поддержание умеренной долговой нагрузки на бюджет городского округа Кинешма – не выше 50% суммы налоговых и неналоговых доходов;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соблюдение требований бюджетного законодательства Российской Федерации по расходам на обслуживание муниципального долга;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обеспечение оптимальной структуры муниципальных заимствований по срокам погашения долговых обязательств с целью снижения рисков рефинансирования;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заключение новых кредитных договоров на срок не менее 2 лет с целью снижения доли краткосрочных заимствований;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минимизация дефицита бюджета с целью недопущения роста долговой нагрузки выше экономически безопасного уровня;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установление моратория на предоставление муниципальных гарантий городского округа Кинешма;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оптимизация расходов на обслуживание муниципального долга городского округа Кинешма с учетом привлечения новых рыночных заимствований по ставке не выше ключевой, увеличенной на 1 процентный пункт.</w:t>
      </w:r>
    </w:p>
    <w:p w:rsidR="006E051B" w:rsidRPr="006E051B" w:rsidRDefault="00F7532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4.9</w:t>
      </w:r>
      <w:r w:rsidR="006E051B" w:rsidRPr="006E051B">
        <w:rPr>
          <w:rFonts w:eastAsiaTheme="minorHAnsi"/>
          <w:szCs w:val="22"/>
          <w:lang w:eastAsia="en-US"/>
        </w:rPr>
        <w:t xml:space="preserve">. Инструментами реализации долговой политики городского округа Кинешма являются: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контроль при среднесрочном планировании объемов заимствований, осуществляемых в текущих и прогнозируемых экономических условиях для сохранения долговой нагрузки на уровне, обеспечивающем сбалансированность бюджета городского округа Кинешма;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 проведение аукционов на заключение кредитных договоров</w:t>
      </w:r>
      <w:r w:rsidR="00870B7F">
        <w:rPr>
          <w:rFonts w:eastAsiaTheme="minorHAnsi"/>
          <w:szCs w:val="22"/>
          <w:lang w:eastAsia="en-US"/>
        </w:rPr>
        <w:t xml:space="preserve"> </w:t>
      </w:r>
      <w:r w:rsidR="00870B7F" w:rsidRPr="000E0D01">
        <w:rPr>
          <w:rFonts w:eastAsiaTheme="minorHAnsi"/>
          <w:szCs w:val="22"/>
          <w:lang w:eastAsia="en-US"/>
        </w:rPr>
        <w:t>исключительно в целях рефинансирования действующих долговых обязательств, срок погашения по которым наступил</w:t>
      </w:r>
      <w:r w:rsidRPr="006E051B">
        <w:rPr>
          <w:rFonts w:eastAsiaTheme="minorHAnsi"/>
          <w:szCs w:val="22"/>
          <w:lang w:eastAsia="en-US"/>
        </w:rPr>
        <w:t xml:space="preserve">; сотрудничество с </w:t>
      </w:r>
      <w:r w:rsidRPr="006E051B">
        <w:rPr>
          <w:rFonts w:eastAsiaTheme="minorHAnsi"/>
          <w:szCs w:val="22"/>
          <w:lang w:eastAsia="en-US"/>
        </w:rPr>
        <w:lastRenderedPageBreak/>
        <w:t xml:space="preserve">коммерческими кредитными организациями с целью привлечения их к участию в аукционах;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поддержание и повышение кредитного рейтинга (кредитной истории) городского округа Кинешма с целью улучшения условий заимствований;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использование механизмов оперативного управления долговыми обязательствами городского округа Кинешма: корректировка сроков привлечения заимствований; сокращение объема заимствований с учетом результатов исполнения бюджета городского округа Кинешма;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управление структурой муниципального долга городского округа Кинешма посредством систематического отбора форм заимствований, отвечающих потребности городского округа в привлечении финансовых ресурсов и способствующих минимизации стоимости и диверсификации долгового портфеля городского округа Кинешма при существующих рисках;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 обеспечение своевременного и полного учета долговых обязательств;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мониторинг рынка финансовых услуг и использование наиболее благоприятных видов заимствований;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>- эффективное управление остатками на едином счете бюджета, применение практики управления остатками средств на едином счёте по учёту средств бюджета городского округа Кинешма, включая привлечение и возврат средств муниципальных учреждений городского округа Кинешма, что позволит исключить в течение финансового года использование заёмных средств.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информирование населения о состоянии муниципального долга городского округа Кинешма.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 </w:t>
      </w:r>
      <w:r w:rsidR="00870B7F">
        <w:rPr>
          <w:rFonts w:eastAsiaTheme="minorHAnsi"/>
          <w:szCs w:val="22"/>
          <w:lang w:eastAsia="en-US"/>
        </w:rPr>
        <w:t>4.10</w:t>
      </w:r>
      <w:r w:rsidRPr="006E051B">
        <w:rPr>
          <w:rFonts w:eastAsiaTheme="minorHAnsi"/>
          <w:szCs w:val="22"/>
          <w:lang w:eastAsia="en-US"/>
        </w:rPr>
        <w:t xml:space="preserve">. Основными рисками, возникающими в процессе управления муниципальным долгом городского округа Кинешма, являются: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риск финансовых потерь, связанный с ростом процентных ставок на рынке заимствований;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риск недостаточного поступления доходов в бюджет городского округа Кинешма и роста дефицита бюджета городского округа Кинешма; </w:t>
      </w:r>
    </w:p>
    <w:p w:rsidR="006E051B" w:rsidRPr="006E051B" w:rsidRDefault="006E051B" w:rsidP="006E051B">
      <w:pPr>
        <w:ind w:firstLine="709"/>
        <w:jc w:val="both"/>
        <w:rPr>
          <w:rFonts w:eastAsiaTheme="minorHAnsi"/>
          <w:szCs w:val="22"/>
          <w:lang w:eastAsia="en-US"/>
        </w:rPr>
      </w:pPr>
      <w:r w:rsidRPr="006E051B">
        <w:rPr>
          <w:rFonts w:eastAsiaTheme="minorHAnsi"/>
          <w:szCs w:val="22"/>
          <w:lang w:eastAsia="en-US"/>
        </w:rPr>
        <w:t xml:space="preserve">- риск снижения ликвидности рынка. </w:t>
      </w:r>
    </w:p>
    <w:p w:rsidR="006E051B" w:rsidRPr="006E051B" w:rsidRDefault="00870B7F" w:rsidP="006E051B">
      <w:pPr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4.11.</w:t>
      </w:r>
      <w:r w:rsidR="006E051B" w:rsidRPr="006E051B">
        <w:rPr>
          <w:rFonts w:eastAsiaTheme="minorHAnsi"/>
          <w:szCs w:val="22"/>
          <w:lang w:eastAsia="en-US"/>
        </w:rPr>
        <w:t xml:space="preserve"> Основной мерой, принимаемой в отношении управления рисками, связанными с управлением муниципальным долгом городского округа Кинешма, является осуществление планирования муниципальных заимствований городского округа Кинешма и соблюдение условий предоставления бюджетных кредитов. При планировании муниципальных заимствований городского округа Кинешма должны учитываться экономические возможности по мобилизации ресурсов, текущая и ожидаемая конъюнктура на финансовых рынках. </w:t>
      </w:r>
    </w:p>
    <w:bookmarkEnd w:id="3"/>
    <w:p w:rsidR="0096247A" w:rsidRDefault="0096247A" w:rsidP="00BC46EE">
      <w:pPr>
        <w:jc w:val="center"/>
        <w:rPr>
          <w:b/>
        </w:rPr>
      </w:pPr>
    </w:p>
    <w:p w:rsidR="00BC46EE" w:rsidRDefault="00BC46EE" w:rsidP="00BC46EE">
      <w:pPr>
        <w:jc w:val="center"/>
        <w:rPr>
          <w:b/>
        </w:rPr>
      </w:pPr>
      <w:r w:rsidRPr="00826EAA">
        <w:rPr>
          <w:b/>
        </w:rPr>
        <w:t>Муниципальный финансовый контроль</w:t>
      </w:r>
    </w:p>
    <w:p w:rsidR="009E7880" w:rsidRPr="00452301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52301">
        <w:rPr>
          <w:sz w:val="28"/>
          <w:szCs w:val="28"/>
        </w:rPr>
        <w:t xml:space="preserve">  Одним из приоритетных направлений повышения эффективности бюджетных расходов будет выступать развитие и совершенствование системы финансового контроля и контроля в сфере закупок.</w:t>
      </w:r>
    </w:p>
    <w:p w:rsidR="009E7880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452301">
        <w:rPr>
          <w:sz w:val="28"/>
          <w:szCs w:val="28"/>
        </w:rPr>
        <w:t xml:space="preserve">Деятельность органов муниципального финансового контроля будет </w:t>
      </w:r>
      <w:r w:rsidRPr="00473567">
        <w:rPr>
          <w:sz w:val="28"/>
          <w:szCs w:val="28"/>
        </w:rPr>
        <w:t xml:space="preserve">направлена </w:t>
      </w:r>
      <w:proofErr w:type="gramStart"/>
      <w:r w:rsidRPr="00473567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 xml:space="preserve"> </w:t>
      </w:r>
      <w:r>
        <w:rPr>
          <w:sz w:val="28"/>
          <w:szCs w:val="28"/>
        </w:rPr>
        <w:t>- развитие системы контроля и аудита в сфере закупок;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473567">
        <w:rPr>
          <w:sz w:val="28"/>
          <w:szCs w:val="28"/>
        </w:rPr>
        <w:t>осуществл</w:t>
      </w:r>
      <w:r>
        <w:rPr>
          <w:sz w:val="28"/>
          <w:szCs w:val="28"/>
        </w:rPr>
        <w:t xml:space="preserve">ение контрольной деятельности </w:t>
      </w:r>
      <w:r w:rsidRPr="00473567">
        <w:rPr>
          <w:sz w:val="28"/>
          <w:szCs w:val="28"/>
        </w:rPr>
        <w:t>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бюджета, а также соблюдения условий муниципальных контрактов, договоров (соглашений) о предоставлении средств из бюджета.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 xml:space="preserve">   В рамках контрольной деятельности будет осуществляться: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73567">
        <w:rPr>
          <w:sz w:val="28"/>
          <w:szCs w:val="28"/>
        </w:rPr>
        <w:t xml:space="preserve"> - предварительный контроль в целях предупреждения и пресечения бюджетных нарушений в процессе исполнения бюджета;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>- последующий контроль по результатам исполнения бюджета в целях установления законности его исполнения, достоверности учета и отчетности.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 xml:space="preserve">    В целях создания условий для повышения эффективности бюджетных расходов при осуществлении  полномочий по муниципальному финансовому  контролю будут применяться основные подходы: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>- применение единых федеральных стандартов  и единых форм документов,  оформляемых органами контроля;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>- обеспечение подконтрольности бюджетных расходов;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 xml:space="preserve">- применение </w:t>
      </w:r>
      <w:proofErr w:type="gramStart"/>
      <w:r w:rsidRPr="00473567">
        <w:rPr>
          <w:sz w:val="28"/>
          <w:szCs w:val="28"/>
        </w:rPr>
        <w:t>риск-ориентированного</w:t>
      </w:r>
      <w:proofErr w:type="gramEnd"/>
      <w:r w:rsidRPr="00473567">
        <w:rPr>
          <w:sz w:val="28"/>
          <w:szCs w:val="28"/>
        </w:rPr>
        <w:t xml:space="preserve"> подхода к планированию и осуществлению контрольной деятельности;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>- обеспечение своевременного устранения нарушений, выявленных в ходе проведения контрольных мероприятий</w:t>
      </w:r>
      <w:r w:rsidR="00C52FEB">
        <w:rPr>
          <w:sz w:val="28"/>
          <w:szCs w:val="28"/>
        </w:rPr>
        <w:t>,</w:t>
      </w:r>
      <w:r w:rsidRPr="00473567">
        <w:rPr>
          <w:sz w:val="28"/>
          <w:szCs w:val="28"/>
        </w:rPr>
        <w:t xml:space="preserve"> и принятие объектами контроля мер, направленных на их недопущение;</w:t>
      </w:r>
    </w:p>
    <w:p w:rsidR="009E7880" w:rsidRPr="00473567" w:rsidRDefault="009E7880" w:rsidP="009E7880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73567">
        <w:rPr>
          <w:sz w:val="28"/>
          <w:szCs w:val="28"/>
        </w:rPr>
        <w:t>- повышение степени ответственности главных распорядителей и получателей за расходованием бюджетных средств.</w:t>
      </w:r>
    </w:p>
    <w:p w:rsidR="009E7880" w:rsidRDefault="009E7880" w:rsidP="009E7880">
      <w:pPr>
        <w:jc w:val="both"/>
      </w:pPr>
      <w:r>
        <w:t xml:space="preserve">     </w:t>
      </w:r>
      <w:r w:rsidR="001D19D4">
        <w:tab/>
      </w:r>
      <w:r>
        <w:t xml:space="preserve">Кроме того, в отношении контроля финансовым органом при осуществлении  закупок в соответствии с частью </w:t>
      </w:r>
      <w:r w:rsidRPr="00473567">
        <w:t>5 статьи 99 Федерального закона № 44-ФЗ,</w:t>
      </w:r>
      <w:r>
        <w:t xml:space="preserve"> будет продолжена работа по контролю за не</w:t>
      </w:r>
      <w:r w:rsidR="00C52FEB">
        <w:t xml:space="preserve"> </w:t>
      </w:r>
      <w:r>
        <w:t>превышением объемов финансового обеспечения, включенных в планы-графики закупок</w:t>
      </w:r>
      <w:r w:rsidR="00C52FEB">
        <w:t>,</w:t>
      </w:r>
      <w:r>
        <w:t xml:space="preserve"> над выделенными лимитами бюджетных обязательств и объемами субсидий, включенных в планы финансово-хозяйственной деятельности; за соответствием вносимой в реестр контрактов информации при  заключении  контрактов, в том числе информации о банковском или казначейском сопровождении контрактов, а также при исполнении контрактов, в том числе о суммах неустоек (штрафов, пеней) в связи с неисполнением поставщиками (подрядчиками, исполнителями) условий контактов в соответствии с требованиями, предъявленными заказчиками. </w:t>
      </w:r>
    </w:p>
    <w:p w:rsidR="00CC0452" w:rsidRDefault="009E7880" w:rsidP="008C17D8">
      <w:pPr>
        <w:jc w:val="both"/>
      </w:pPr>
      <w:r>
        <w:t xml:space="preserve">    </w:t>
      </w:r>
      <w:r w:rsidR="001D19D4">
        <w:tab/>
      </w:r>
      <w:r>
        <w:t>П</w:t>
      </w:r>
      <w:r w:rsidRPr="000847BA">
        <w:t xml:space="preserve">рименение указанных механизмов будет способствовать совершенствованию финансового контроля,  направленному на предупреждение нарушений </w:t>
      </w:r>
      <w:r>
        <w:t>в</w:t>
      </w:r>
      <w:r w:rsidRPr="000847BA">
        <w:t xml:space="preserve"> финансово-бюджетной сфере и </w:t>
      </w:r>
      <w:r>
        <w:t xml:space="preserve">в </w:t>
      </w:r>
      <w:r w:rsidRPr="000847BA">
        <w:t>сфере закупок, а также повышению финансовой дисциплины при использовании бюджетных средств</w:t>
      </w:r>
      <w:r>
        <w:t xml:space="preserve"> и средств, предоставленных из бюджета</w:t>
      </w:r>
      <w:r w:rsidRPr="000847BA">
        <w:t>.</w:t>
      </w:r>
    </w:p>
    <w:sectPr w:rsidR="00CC0452" w:rsidSect="009B7AAC">
      <w:headerReference w:type="default" r:id="rId12"/>
      <w:footerReference w:type="default" r:id="rId13"/>
      <w:pgSz w:w="11906" w:h="16838"/>
      <w:pgMar w:top="426" w:right="851" w:bottom="426" w:left="1985" w:header="284" w:footer="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1B" w:rsidRDefault="00E5421B">
      <w:r>
        <w:separator/>
      </w:r>
    </w:p>
  </w:endnote>
  <w:endnote w:type="continuationSeparator" w:id="0">
    <w:p w:rsidR="00E5421B" w:rsidRDefault="00E5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21B" w:rsidRDefault="00E5421B">
    <w:pPr>
      <w:pStyle w:val="a5"/>
      <w:jc w:val="right"/>
    </w:pPr>
  </w:p>
  <w:p w:rsidR="00E5421B" w:rsidRDefault="00E542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1B" w:rsidRDefault="00E5421B">
      <w:r>
        <w:separator/>
      </w:r>
    </w:p>
  </w:footnote>
  <w:footnote w:type="continuationSeparator" w:id="0">
    <w:p w:rsidR="00E5421B" w:rsidRDefault="00E54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98439"/>
      <w:docPartObj>
        <w:docPartGallery w:val="Page Numbers (Top of Page)"/>
        <w:docPartUnique/>
      </w:docPartObj>
    </w:sdtPr>
    <w:sdtEndPr/>
    <w:sdtContent>
      <w:p w:rsidR="00E5421B" w:rsidRDefault="00E5421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38D">
          <w:rPr>
            <w:noProof/>
          </w:rPr>
          <w:t>2</w:t>
        </w:r>
        <w:r>
          <w:fldChar w:fldCharType="end"/>
        </w:r>
      </w:p>
    </w:sdtContent>
  </w:sdt>
  <w:p w:rsidR="00E5421B" w:rsidRDefault="00E5421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9864D0"/>
    <w:multiLevelType w:val="hybridMultilevel"/>
    <w:tmpl w:val="0156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F2E87"/>
    <w:multiLevelType w:val="hybridMultilevel"/>
    <w:tmpl w:val="1F6A9352"/>
    <w:lvl w:ilvl="0" w:tplc="C194D82E">
      <w:start w:val="13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2A12799"/>
    <w:multiLevelType w:val="hybridMultilevel"/>
    <w:tmpl w:val="DD7090A2"/>
    <w:lvl w:ilvl="0" w:tplc="211A23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14731"/>
    <w:multiLevelType w:val="hybridMultilevel"/>
    <w:tmpl w:val="10A4C814"/>
    <w:lvl w:ilvl="0" w:tplc="AA4A7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A34581"/>
    <w:multiLevelType w:val="hybridMultilevel"/>
    <w:tmpl w:val="3B3CD458"/>
    <w:lvl w:ilvl="0" w:tplc="A044E61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97D6A13"/>
    <w:multiLevelType w:val="multilevel"/>
    <w:tmpl w:val="A900E914"/>
    <w:lvl w:ilvl="0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7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9">
    <w:nsid w:val="3D6629C5"/>
    <w:multiLevelType w:val="hybridMultilevel"/>
    <w:tmpl w:val="4CDE3EC0"/>
    <w:lvl w:ilvl="0" w:tplc="97948E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EB5720C"/>
    <w:multiLevelType w:val="hybridMultilevel"/>
    <w:tmpl w:val="9AC643A4"/>
    <w:lvl w:ilvl="0" w:tplc="16C021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8E2DDE"/>
    <w:multiLevelType w:val="hybridMultilevel"/>
    <w:tmpl w:val="1B865D30"/>
    <w:lvl w:ilvl="0" w:tplc="BFE675DC">
      <w:start w:val="14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CBE51CE"/>
    <w:multiLevelType w:val="hybridMultilevel"/>
    <w:tmpl w:val="E594F73A"/>
    <w:lvl w:ilvl="0" w:tplc="8636493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14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256AF2"/>
    <w:multiLevelType w:val="multilevel"/>
    <w:tmpl w:val="239A3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CFB158C"/>
    <w:multiLevelType w:val="hybridMultilevel"/>
    <w:tmpl w:val="BA447B76"/>
    <w:lvl w:ilvl="0" w:tplc="BE1487B0">
      <w:start w:val="4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8"/>
  </w:num>
  <w:num w:numId="3">
    <w:abstractNumId w:val="0"/>
  </w:num>
  <w:num w:numId="4">
    <w:abstractNumId w:val="14"/>
  </w:num>
  <w:num w:numId="5">
    <w:abstractNumId w:val="7"/>
  </w:num>
  <w:num w:numId="6">
    <w:abstractNumId w:val="13"/>
  </w:num>
  <w:num w:numId="7">
    <w:abstractNumId w:val="15"/>
  </w:num>
  <w:num w:numId="8">
    <w:abstractNumId w:val="10"/>
  </w:num>
  <w:num w:numId="9">
    <w:abstractNumId w:val="1"/>
  </w:num>
  <w:num w:numId="10">
    <w:abstractNumId w:val="6"/>
  </w:num>
  <w:num w:numId="11">
    <w:abstractNumId w:val="5"/>
  </w:num>
  <w:num w:numId="12">
    <w:abstractNumId w:val="12"/>
  </w:num>
  <w:num w:numId="13">
    <w:abstractNumId w:val="9"/>
  </w:num>
  <w:num w:numId="14">
    <w:abstractNumId w:val="17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893"/>
    <w:rsid w:val="00003636"/>
    <w:rsid w:val="000055FA"/>
    <w:rsid w:val="00006D4F"/>
    <w:rsid w:val="00017893"/>
    <w:rsid w:val="00025CEF"/>
    <w:rsid w:val="000265BC"/>
    <w:rsid w:val="000404B3"/>
    <w:rsid w:val="00040881"/>
    <w:rsid w:val="0004324F"/>
    <w:rsid w:val="00057CDA"/>
    <w:rsid w:val="000602C0"/>
    <w:rsid w:val="000675DB"/>
    <w:rsid w:val="0007328C"/>
    <w:rsid w:val="0008008A"/>
    <w:rsid w:val="00082050"/>
    <w:rsid w:val="000826D8"/>
    <w:rsid w:val="0008279F"/>
    <w:rsid w:val="0008334F"/>
    <w:rsid w:val="00085C40"/>
    <w:rsid w:val="00086072"/>
    <w:rsid w:val="00094B8A"/>
    <w:rsid w:val="00097431"/>
    <w:rsid w:val="000A255E"/>
    <w:rsid w:val="000A30F4"/>
    <w:rsid w:val="000C0840"/>
    <w:rsid w:val="000C219A"/>
    <w:rsid w:val="000C6523"/>
    <w:rsid w:val="000C6EBE"/>
    <w:rsid w:val="000C79DE"/>
    <w:rsid w:val="000D0F54"/>
    <w:rsid w:val="000E0D01"/>
    <w:rsid w:val="000E4344"/>
    <w:rsid w:val="000E4745"/>
    <w:rsid w:val="000E5197"/>
    <w:rsid w:val="000F3DB4"/>
    <w:rsid w:val="000F6E92"/>
    <w:rsid w:val="00100003"/>
    <w:rsid w:val="00101EAE"/>
    <w:rsid w:val="00103B6C"/>
    <w:rsid w:val="001065B7"/>
    <w:rsid w:val="00107389"/>
    <w:rsid w:val="00107D4F"/>
    <w:rsid w:val="001119CB"/>
    <w:rsid w:val="00111FDF"/>
    <w:rsid w:val="0011773E"/>
    <w:rsid w:val="001240A8"/>
    <w:rsid w:val="00137C7D"/>
    <w:rsid w:val="001416E9"/>
    <w:rsid w:val="00145572"/>
    <w:rsid w:val="001520F0"/>
    <w:rsid w:val="00162047"/>
    <w:rsid w:val="001628F6"/>
    <w:rsid w:val="00162EE3"/>
    <w:rsid w:val="0016550B"/>
    <w:rsid w:val="0017420A"/>
    <w:rsid w:val="00176BD6"/>
    <w:rsid w:val="001906B0"/>
    <w:rsid w:val="0019211F"/>
    <w:rsid w:val="00195CD6"/>
    <w:rsid w:val="001A02D0"/>
    <w:rsid w:val="001A1681"/>
    <w:rsid w:val="001A2445"/>
    <w:rsid w:val="001A3E6D"/>
    <w:rsid w:val="001B1230"/>
    <w:rsid w:val="001B1FCD"/>
    <w:rsid w:val="001B3F0C"/>
    <w:rsid w:val="001B44E1"/>
    <w:rsid w:val="001B65AC"/>
    <w:rsid w:val="001C1D71"/>
    <w:rsid w:val="001C2353"/>
    <w:rsid w:val="001C5EBD"/>
    <w:rsid w:val="001C6FEE"/>
    <w:rsid w:val="001D19D4"/>
    <w:rsid w:val="001D7A0C"/>
    <w:rsid w:val="001E3138"/>
    <w:rsid w:val="001E569F"/>
    <w:rsid w:val="001E5E22"/>
    <w:rsid w:val="001F622B"/>
    <w:rsid w:val="001F7B3D"/>
    <w:rsid w:val="002022C3"/>
    <w:rsid w:val="002032A1"/>
    <w:rsid w:val="00204905"/>
    <w:rsid w:val="00207197"/>
    <w:rsid w:val="00207CA0"/>
    <w:rsid w:val="00207DC3"/>
    <w:rsid w:val="002113C0"/>
    <w:rsid w:val="00211997"/>
    <w:rsid w:val="002137CF"/>
    <w:rsid w:val="002178D9"/>
    <w:rsid w:val="00220462"/>
    <w:rsid w:val="00222D59"/>
    <w:rsid w:val="00230278"/>
    <w:rsid w:val="002339A4"/>
    <w:rsid w:val="002411AD"/>
    <w:rsid w:val="002432A5"/>
    <w:rsid w:val="002502EE"/>
    <w:rsid w:val="00253B64"/>
    <w:rsid w:val="00255C46"/>
    <w:rsid w:val="00256C01"/>
    <w:rsid w:val="00261D75"/>
    <w:rsid w:val="002621D3"/>
    <w:rsid w:val="00262856"/>
    <w:rsid w:val="002660DF"/>
    <w:rsid w:val="002663AA"/>
    <w:rsid w:val="00267AF2"/>
    <w:rsid w:val="00267E7A"/>
    <w:rsid w:val="0027447F"/>
    <w:rsid w:val="00274933"/>
    <w:rsid w:val="002760A7"/>
    <w:rsid w:val="00284D3D"/>
    <w:rsid w:val="0029189B"/>
    <w:rsid w:val="002928BE"/>
    <w:rsid w:val="00293B10"/>
    <w:rsid w:val="002956C5"/>
    <w:rsid w:val="002A38E1"/>
    <w:rsid w:val="002A489C"/>
    <w:rsid w:val="002A7C39"/>
    <w:rsid w:val="002B310C"/>
    <w:rsid w:val="002B389E"/>
    <w:rsid w:val="002C0F1F"/>
    <w:rsid w:val="002C1303"/>
    <w:rsid w:val="002C2E10"/>
    <w:rsid w:val="002C76AE"/>
    <w:rsid w:val="002C7D63"/>
    <w:rsid w:val="002D3600"/>
    <w:rsid w:val="002D71D3"/>
    <w:rsid w:val="002E0CAA"/>
    <w:rsid w:val="002E0E1B"/>
    <w:rsid w:val="002E233B"/>
    <w:rsid w:val="002F7CC0"/>
    <w:rsid w:val="00304BE7"/>
    <w:rsid w:val="0030534B"/>
    <w:rsid w:val="003114D7"/>
    <w:rsid w:val="00312FEF"/>
    <w:rsid w:val="00314412"/>
    <w:rsid w:val="00314745"/>
    <w:rsid w:val="00315872"/>
    <w:rsid w:val="003247F6"/>
    <w:rsid w:val="00325CAE"/>
    <w:rsid w:val="00327614"/>
    <w:rsid w:val="00331BC0"/>
    <w:rsid w:val="0033289A"/>
    <w:rsid w:val="00340ECE"/>
    <w:rsid w:val="00342810"/>
    <w:rsid w:val="00343A38"/>
    <w:rsid w:val="00345ED7"/>
    <w:rsid w:val="003503F8"/>
    <w:rsid w:val="00350AFB"/>
    <w:rsid w:val="00351012"/>
    <w:rsid w:val="0035704F"/>
    <w:rsid w:val="00363331"/>
    <w:rsid w:val="003717E3"/>
    <w:rsid w:val="00371A6B"/>
    <w:rsid w:val="00371AEB"/>
    <w:rsid w:val="0038344C"/>
    <w:rsid w:val="003834E3"/>
    <w:rsid w:val="00390FF7"/>
    <w:rsid w:val="0039141E"/>
    <w:rsid w:val="003914E6"/>
    <w:rsid w:val="00391A75"/>
    <w:rsid w:val="00397E09"/>
    <w:rsid w:val="003A4269"/>
    <w:rsid w:val="003A466D"/>
    <w:rsid w:val="003A6916"/>
    <w:rsid w:val="003B0809"/>
    <w:rsid w:val="003B1660"/>
    <w:rsid w:val="003B31AC"/>
    <w:rsid w:val="003C5812"/>
    <w:rsid w:val="003C6B0A"/>
    <w:rsid w:val="003C7C20"/>
    <w:rsid w:val="003D2089"/>
    <w:rsid w:val="003D3DB4"/>
    <w:rsid w:val="003D53D5"/>
    <w:rsid w:val="003D77FE"/>
    <w:rsid w:val="003E3DC6"/>
    <w:rsid w:val="003E7340"/>
    <w:rsid w:val="003F1BE7"/>
    <w:rsid w:val="004011AA"/>
    <w:rsid w:val="00402B90"/>
    <w:rsid w:val="00411DB0"/>
    <w:rsid w:val="00431DFA"/>
    <w:rsid w:val="0043677C"/>
    <w:rsid w:val="00440FBA"/>
    <w:rsid w:val="00447C82"/>
    <w:rsid w:val="004604D7"/>
    <w:rsid w:val="00464C33"/>
    <w:rsid w:val="00466C1B"/>
    <w:rsid w:val="00480CA7"/>
    <w:rsid w:val="00484499"/>
    <w:rsid w:val="004967FC"/>
    <w:rsid w:val="004A065C"/>
    <w:rsid w:val="004A2A0F"/>
    <w:rsid w:val="004B02A4"/>
    <w:rsid w:val="004B0EA8"/>
    <w:rsid w:val="004B207B"/>
    <w:rsid w:val="004B3FF5"/>
    <w:rsid w:val="004B453B"/>
    <w:rsid w:val="004C5B35"/>
    <w:rsid w:val="004E5967"/>
    <w:rsid w:val="004F2E99"/>
    <w:rsid w:val="004F3969"/>
    <w:rsid w:val="004F6C4E"/>
    <w:rsid w:val="0050038D"/>
    <w:rsid w:val="005038B8"/>
    <w:rsid w:val="0050425E"/>
    <w:rsid w:val="0050501B"/>
    <w:rsid w:val="00506D2C"/>
    <w:rsid w:val="0051315D"/>
    <w:rsid w:val="0051487F"/>
    <w:rsid w:val="00515AF1"/>
    <w:rsid w:val="00516800"/>
    <w:rsid w:val="00520694"/>
    <w:rsid w:val="00520D19"/>
    <w:rsid w:val="0052701A"/>
    <w:rsid w:val="00533CC2"/>
    <w:rsid w:val="00534F4E"/>
    <w:rsid w:val="00536BA5"/>
    <w:rsid w:val="00543957"/>
    <w:rsid w:val="00544672"/>
    <w:rsid w:val="00545EDC"/>
    <w:rsid w:val="00555297"/>
    <w:rsid w:val="0056294B"/>
    <w:rsid w:val="00564F12"/>
    <w:rsid w:val="00567285"/>
    <w:rsid w:val="00567F59"/>
    <w:rsid w:val="00570420"/>
    <w:rsid w:val="00580E21"/>
    <w:rsid w:val="00581030"/>
    <w:rsid w:val="005843E4"/>
    <w:rsid w:val="00586705"/>
    <w:rsid w:val="00591DC8"/>
    <w:rsid w:val="00594B94"/>
    <w:rsid w:val="00595577"/>
    <w:rsid w:val="005A0C63"/>
    <w:rsid w:val="005A2F82"/>
    <w:rsid w:val="005A3C2F"/>
    <w:rsid w:val="005A5A37"/>
    <w:rsid w:val="005B4492"/>
    <w:rsid w:val="005B586B"/>
    <w:rsid w:val="005C0571"/>
    <w:rsid w:val="005C5810"/>
    <w:rsid w:val="005D1A6B"/>
    <w:rsid w:val="005D46AB"/>
    <w:rsid w:val="005D6CB8"/>
    <w:rsid w:val="005D7E00"/>
    <w:rsid w:val="005E0F6E"/>
    <w:rsid w:val="005F01BC"/>
    <w:rsid w:val="005F409E"/>
    <w:rsid w:val="005F4E24"/>
    <w:rsid w:val="006000E7"/>
    <w:rsid w:val="00605571"/>
    <w:rsid w:val="00615214"/>
    <w:rsid w:val="0061560A"/>
    <w:rsid w:val="00626475"/>
    <w:rsid w:val="006326B6"/>
    <w:rsid w:val="0063434B"/>
    <w:rsid w:val="00636B97"/>
    <w:rsid w:val="00636BB7"/>
    <w:rsid w:val="00640F4A"/>
    <w:rsid w:val="0064214F"/>
    <w:rsid w:val="00644D94"/>
    <w:rsid w:val="00647839"/>
    <w:rsid w:val="0065146F"/>
    <w:rsid w:val="0065364C"/>
    <w:rsid w:val="00664171"/>
    <w:rsid w:val="006641E4"/>
    <w:rsid w:val="00665C76"/>
    <w:rsid w:val="00676623"/>
    <w:rsid w:val="00676B0A"/>
    <w:rsid w:val="006876A5"/>
    <w:rsid w:val="00693AAE"/>
    <w:rsid w:val="00695D36"/>
    <w:rsid w:val="006A16A5"/>
    <w:rsid w:val="006A2434"/>
    <w:rsid w:val="006A4A34"/>
    <w:rsid w:val="006A5B17"/>
    <w:rsid w:val="006A5D3B"/>
    <w:rsid w:val="006A5E51"/>
    <w:rsid w:val="006B27CB"/>
    <w:rsid w:val="006C14D1"/>
    <w:rsid w:val="006D0247"/>
    <w:rsid w:val="006D1221"/>
    <w:rsid w:val="006D2778"/>
    <w:rsid w:val="006D74C4"/>
    <w:rsid w:val="006E051B"/>
    <w:rsid w:val="006E0AE8"/>
    <w:rsid w:val="006E3CF4"/>
    <w:rsid w:val="006F145B"/>
    <w:rsid w:val="00713AAD"/>
    <w:rsid w:val="0072274B"/>
    <w:rsid w:val="007321E7"/>
    <w:rsid w:val="00734A37"/>
    <w:rsid w:val="00737860"/>
    <w:rsid w:val="007474C9"/>
    <w:rsid w:val="00747659"/>
    <w:rsid w:val="00747DE4"/>
    <w:rsid w:val="0075104B"/>
    <w:rsid w:val="00752AC0"/>
    <w:rsid w:val="00756ACC"/>
    <w:rsid w:val="0076101D"/>
    <w:rsid w:val="00764524"/>
    <w:rsid w:val="007778C5"/>
    <w:rsid w:val="007817DD"/>
    <w:rsid w:val="00782718"/>
    <w:rsid w:val="00791EAF"/>
    <w:rsid w:val="00797ADB"/>
    <w:rsid w:val="007A245E"/>
    <w:rsid w:val="007A29A4"/>
    <w:rsid w:val="007A3201"/>
    <w:rsid w:val="007A473A"/>
    <w:rsid w:val="007A7681"/>
    <w:rsid w:val="007B326E"/>
    <w:rsid w:val="007C2AB9"/>
    <w:rsid w:val="007C2C85"/>
    <w:rsid w:val="007C3D38"/>
    <w:rsid w:val="007C4C0F"/>
    <w:rsid w:val="007D2619"/>
    <w:rsid w:val="007D429F"/>
    <w:rsid w:val="007D6D47"/>
    <w:rsid w:val="007E47C0"/>
    <w:rsid w:val="007F2436"/>
    <w:rsid w:val="007F3F02"/>
    <w:rsid w:val="00805D4D"/>
    <w:rsid w:val="008123FE"/>
    <w:rsid w:val="00816C66"/>
    <w:rsid w:val="00820450"/>
    <w:rsid w:val="00824749"/>
    <w:rsid w:val="0082522B"/>
    <w:rsid w:val="00826A52"/>
    <w:rsid w:val="00826EAA"/>
    <w:rsid w:val="008321F8"/>
    <w:rsid w:val="00832E05"/>
    <w:rsid w:val="008352AD"/>
    <w:rsid w:val="00837B13"/>
    <w:rsid w:val="0084494D"/>
    <w:rsid w:val="00844CF4"/>
    <w:rsid w:val="00850E2A"/>
    <w:rsid w:val="00861FDF"/>
    <w:rsid w:val="00865703"/>
    <w:rsid w:val="00870B7F"/>
    <w:rsid w:val="008720C7"/>
    <w:rsid w:val="00874AB8"/>
    <w:rsid w:val="00877DF4"/>
    <w:rsid w:val="00880D5D"/>
    <w:rsid w:val="008848B3"/>
    <w:rsid w:val="008866C6"/>
    <w:rsid w:val="008963AE"/>
    <w:rsid w:val="008A3D7A"/>
    <w:rsid w:val="008A5074"/>
    <w:rsid w:val="008A51B8"/>
    <w:rsid w:val="008B2D09"/>
    <w:rsid w:val="008B50C6"/>
    <w:rsid w:val="008C04C2"/>
    <w:rsid w:val="008C0C44"/>
    <w:rsid w:val="008C17D8"/>
    <w:rsid w:val="008C31A1"/>
    <w:rsid w:val="008C5D27"/>
    <w:rsid w:val="008C63E0"/>
    <w:rsid w:val="008C64A3"/>
    <w:rsid w:val="008C64F5"/>
    <w:rsid w:val="008D088F"/>
    <w:rsid w:val="008D094A"/>
    <w:rsid w:val="008D1F02"/>
    <w:rsid w:val="008D5724"/>
    <w:rsid w:val="008E0DBD"/>
    <w:rsid w:val="008E391B"/>
    <w:rsid w:val="008E7A9F"/>
    <w:rsid w:val="008F0B6A"/>
    <w:rsid w:val="008F6554"/>
    <w:rsid w:val="0090499F"/>
    <w:rsid w:val="00904BA1"/>
    <w:rsid w:val="009069D9"/>
    <w:rsid w:val="00921286"/>
    <w:rsid w:val="00926AC2"/>
    <w:rsid w:val="009307CA"/>
    <w:rsid w:val="009309BC"/>
    <w:rsid w:val="009323B4"/>
    <w:rsid w:val="0093299F"/>
    <w:rsid w:val="009351FA"/>
    <w:rsid w:val="009374B8"/>
    <w:rsid w:val="0094231E"/>
    <w:rsid w:val="00945BF8"/>
    <w:rsid w:val="00957627"/>
    <w:rsid w:val="0096247A"/>
    <w:rsid w:val="00965AA7"/>
    <w:rsid w:val="00973AC1"/>
    <w:rsid w:val="00982E66"/>
    <w:rsid w:val="009843CA"/>
    <w:rsid w:val="00986493"/>
    <w:rsid w:val="009935AC"/>
    <w:rsid w:val="00994A35"/>
    <w:rsid w:val="009A4DC9"/>
    <w:rsid w:val="009A7927"/>
    <w:rsid w:val="009B1ED0"/>
    <w:rsid w:val="009B3FB4"/>
    <w:rsid w:val="009B442E"/>
    <w:rsid w:val="009B5901"/>
    <w:rsid w:val="009B72C3"/>
    <w:rsid w:val="009B7AAC"/>
    <w:rsid w:val="009C49CB"/>
    <w:rsid w:val="009C60D8"/>
    <w:rsid w:val="009C7980"/>
    <w:rsid w:val="009D0A33"/>
    <w:rsid w:val="009D3A7D"/>
    <w:rsid w:val="009D44B7"/>
    <w:rsid w:val="009D4705"/>
    <w:rsid w:val="009E3157"/>
    <w:rsid w:val="009E52B7"/>
    <w:rsid w:val="009E60FF"/>
    <w:rsid w:val="009E7880"/>
    <w:rsid w:val="009F5332"/>
    <w:rsid w:val="00A01150"/>
    <w:rsid w:val="00A016D4"/>
    <w:rsid w:val="00A02E9E"/>
    <w:rsid w:val="00A1420A"/>
    <w:rsid w:val="00A14229"/>
    <w:rsid w:val="00A16CC0"/>
    <w:rsid w:val="00A207AD"/>
    <w:rsid w:val="00A2668D"/>
    <w:rsid w:val="00A301D9"/>
    <w:rsid w:val="00A30412"/>
    <w:rsid w:val="00A35A08"/>
    <w:rsid w:val="00A44E1F"/>
    <w:rsid w:val="00A51481"/>
    <w:rsid w:val="00A52436"/>
    <w:rsid w:val="00A53EBE"/>
    <w:rsid w:val="00A642CC"/>
    <w:rsid w:val="00A73A97"/>
    <w:rsid w:val="00A80111"/>
    <w:rsid w:val="00A9409C"/>
    <w:rsid w:val="00A975A0"/>
    <w:rsid w:val="00A97C21"/>
    <w:rsid w:val="00AA21B5"/>
    <w:rsid w:val="00AA2F50"/>
    <w:rsid w:val="00AA49AD"/>
    <w:rsid w:val="00AA56D9"/>
    <w:rsid w:val="00AA582A"/>
    <w:rsid w:val="00AA6008"/>
    <w:rsid w:val="00AB02F3"/>
    <w:rsid w:val="00AB1CF5"/>
    <w:rsid w:val="00AB579C"/>
    <w:rsid w:val="00AB7953"/>
    <w:rsid w:val="00AC57EC"/>
    <w:rsid w:val="00AC63B1"/>
    <w:rsid w:val="00AD2126"/>
    <w:rsid w:val="00AD7037"/>
    <w:rsid w:val="00AE3DD8"/>
    <w:rsid w:val="00AE413C"/>
    <w:rsid w:val="00AF11EC"/>
    <w:rsid w:val="00AF296F"/>
    <w:rsid w:val="00AF2D91"/>
    <w:rsid w:val="00AF4DF7"/>
    <w:rsid w:val="00B041AC"/>
    <w:rsid w:val="00B04718"/>
    <w:rsid w:val="00B1086B"/>
    <w:rsid w:val="00B13524"/>
    <w:rsid w:val="00B14D58"/>
    <w:rsid w:val="00B16D3F"/>
    <w:rsid w:val="00B21E02"/>
    <w:rsid w:val="00B3503A"/>
    <w:rsid w:val="00B35FE0"/>
    <w:rsid w:val="00B506BB"/>
    <w:rsid w:val="00B51BB3"/>
    <w:rsid w:val="00B53287"/>
    <w:rsid w:val="00B5450F"/>
    <w:rsid w:val="00B6296D"/>
    <w:rsid w:val="00B62BCB"/>
    <w:rsid w:val="00B63C8E"/>
    <w:rsid w:val="00B73691"/>
    <w:rsid w:val="00B77898"/>
    <w:rsid w:val="00B8213F"/>
    <w:rsid w:val="00B82706"/>
    <w:rsid w:val="00B908DC"/>
    <w:rsid w:val="00BA0458"/>
    <w:rsid w:val="00BA0843"/>
    <w:rsid w:val="00BA14A8"/>
    <w:rsid w:val="00BA5C32"/>
    <w:rsid w:val="00BB5495"/>
    <w:rsid w:val="00BC3E5C"/>
    <w:rsid w:val="00BC46EE"/>
    <w:rsid w:val="00BD48A0"/>
    <w:rsid w:val="00BD6384"/>
    <w:rsid w:val="00BE0777"/>
    <w:rsid w:val="00BF240E"/>
    <w:rsid w:val="00BF2523"/>
    <w:rsid w:val="00BF35C4"/>
    <w:rsid w:val="00C1740C"/>
    <w:rsid w:val="00C20524"/>
    <w:rsid w:val="00C21781"/>
    <w:rsid w:val="00C30C18"/>
    <w:rsid w:val="00C30F45"/>
    <w:rsid w:val="00C37984"/>
    <w:rsid w:val="00C40BFA"/>
    <w:rsid w:val="00C41648"/>
    <w:rsid w:val="00C43F1F"/>
    <w:rsid w:val="00C5236C"/>
    <w:rsid w:val="00C52FEB"/>
    <w:rsid w:val="00C54B20"/>
    <w:rsid w:val="00C62119"/>
    <w:rsid w:val="00C62B6D"/>
    <w:rsid w:val="00C70EB1"/>
    <w:rsid w:val="00C72B77"/>
    <w:rsid w:val="00C75587"/>
    <w:rsid w:val="00C767C1"/>
    <w:rsid w:val="00C81AB1"/>
    <w:rsid w:val="00C950CD"/>
    <w:rsid w:val="00C9600D"/>
    <w:rsid w:val="00CA36CD"/>
    <w:rsid w:val="00CA6953"/>
    <w:rsid w:val="00CB3ED9"/>
    <w:rsid w:val="00CC0452"/>
    <w:rsid w:val="00CC3AC7"/>
    <w:rsid w:val="00CC5505"/>
    <w:rsid w:val="00CD03F3"/>
    <w:rsid w:val="00CD3143"/>
    <w:rsid w:val="00CE0706"/>
    <w:rsid w:val="00CE2852"/>
    <w:rsid w:val="00CE4197"/>
    <w:rsid w:val="00CE5A39"/>
    <w:rsid w:val="00CE6B60"/>
    <w:rsid w:val="00CF0A61"/>
    <w:rsid w:val="00CF0A92"/>
    <w:rsid w:val="00CF407C"/>
    <w:rsid w:val="00D018CD"/>
    <w:rsid w:val="00D05093"/>
    <w:rsid w:val="00D06354"/>
    <w:rsid w:val="00D1152F"/>
    <w:rsid w:val="00D140FE"/>
    <w:rsid w:val="00D223DE"/>
    <w:rsid w:val="00D223E0"/>
    <w:rsid w:val="00D24AF8"/>
    <w:rsid w:val="00D24EA2"/>
    <w:rsid w:val="00D30519"/>
    <w:rsid w:val="00D30C55"/>
    <w:rsid w:val="00D31F6C"/>
    <w:rsid w:val="00D35964"/>
    <w:rsid w:val="00D37E2D"/>
    <w:rsid w:val="00D41676"/>
    <w:rsid w:val="00D448D2"/>
    <w:rsid w:val="00D47A49"/>
    <w:rsid w:val="00D55135"/>
    <w:rsid w:val="00D558F7"/>
    <w:rsid w:val="00D60C90"/>
    <w:rsid w:val="00D62B96"/>
    <w:rsid w:val="00D62FA8"/>
    <w:rsid w:val="00D64932"/>
    <w:rsid w:val="00D66A92"/>
    <w:rsid w:val="00D66B4C"/>
    <w:rsid w:val="00D72482"/>
    <w:rsid w:val="00D800B8"/>
    <w:rsid w:val="00D974D3"/>
    <w:rsid w:val="00DA2368"/>
    <w:rsid w:val="00DA512B"/>
    <w:rsid w:val="00DB5A9E"/>
    <w:rsid w:val="00DC698C"/>
    <w:rsid w:val="00DC797B"/>
    <w:rsid w:val="00DD1ABD"/>
    <w:rsid w:val="00DD3197"/>
    <w:rsid w:val="00DD559A"/>
    <w:rsid w:val="00DF5A05"/>
    <w:rsid w:val="00E0180C"/>
    <w:rsid w:val="00E117D4"/>
    <w:rsid w:val="00E15C26"/>
    <w:rsid w:val="00E16410"/>
    <w:rsid w:val="00E169B0"/>
    <w:rsid w:val="00E16CEA"/>
    <w:rsid w:val="00E21C18"/>
    <w:rsid w:val="00E23730"/>
    <w:rsid w:val="00E31120"/>
    <w:rsid w:val="00E325BB"/>
    <w:rsid w:val="00E35E11"/>
    <w:rsid w:val="00E3703A"/>
    <w:rsid w:val="00E412E1"/>
    <w:rsid w:val="00E45724"/>
    <w:rsid w:val="00E51F54"/>
    <w:rsid w:val="00E53CFF"/>
    <w:rsid w:val="00E5421B"/>
    <w:rsid w:val="00E57533"/>
    <w:rsid w:val="00E578A6"/>
    <w:rsid w:val="00E633D3"/>
    <w:rsid w:val="00E64305"/>
    <w:rsid w:val="00E64AC6"/>
    <w:rsid w:val="00E66AC6"/>
    <w:rsid w:val="00E6773F"/>
    <w:rsid w:val="00E74803"/>
    <w:rsid w:val="00E74DE9"/>
    <w:rsid w:val="00E81597"/>
    <w:rsid w:val="00E82F3B"/>
    <w:rsid w:val="00E84E1D"/>
    <w:rsid w:val="00E90E1F"/>
    <w:rsid w:val="00E946F8"/>
    <w:rsid w:val="00E97074"/>
    <w:rsid w:val="00EA1C83"/>
    <w:rsid w:val="00EA4CC5"/>
    <w:rsid w:val="00EA4FED"/>
    <w:rsid w:val="00EA7921"/>
    <w:rsid w:val="00EA7E3A"/>
    <w:rsid w:val="00EB30F1"/>
    <w:rsid w:val="00EB4536"/>
    <w:rsid w:val="00EB620A"/>
    <w:rsid w:val="00EB6370"/>
    <w:rsid w:val="00ED291F"/>
    <w:rsid w:val="00ED3C0F"/>
    <w:rsid w:val="00ED7EBD"/>
    <w:rsid w:val="00EE6420"/>
    <w:rsid w:val="00EF0C2F"/>
    <w:rsid w:val="00EF15F0"/>
    <w:rsid w:val="00EF31A1"/>
    <w:rsid w:val="00EF37AD"/>
    <w:rsid w:val="00EF5D4E"/>
    <w:rsid w:val="00EF754D"/>
    <w:rsid w:val="00EF7EDE"/>
    <w:rsid w:val="00F06BFA"/>
    <w:rsid w:val="00F11E50"/>
    <w:rsid w:val="00F1346C"/>
    <w:rsid w:val="00F152A0"/>
    <w:rsid w:val="00F15733"/>
    <w:rsid w:val="00F23A0E"/>
    <w:rsid w:val="00F27736"/>
    <w:rsid w:val="00F30D14"/>
    <w:rsid w:val="00F325D5"/>
    <w:rsid w:val="00F40D98"/>
    <w:rsid w:val="00F436D5"/>
    <w:rsid w:val="00F43BCC"/>
    <w:rsid w:val="00F520E7"/>
    <w:rsid w:val="00F526C2"/>
    <w:rsid w:val="00F56B08"/>
    <w:rsid w:val="00F60A8E"/>
    <w:rsid w:val="00F7349E"/>
    <w:rsid w:val="00F7529F"/>
    <w:rsid w:val="00F7532B"/>
    <w:rsid w:val="00F85E77"/>
    <w:rsid w:val="00F930EA"/>
    <w:rsid w:val="00F93236"/>
    <w:rsid w:val="00F9488E"/>
    <w:rsid w:val="00F979ED"/>
    <w:rsid w:val="00FA0C4B"/>
    <w:rsid w:val="00FA0F90"/>
    <w:rsid w:val="00FA36EB"/>
    <w:rsid w:val="00FB115D"/>
    <w:rsid w:val="00FB645B"/>
    <w:rsid w:val="00FC36B8"/>
    <w:rsid w:val="00FC3CE5"/>
    <w:rsid w:val="00FC4C72"/>
    <w:rsid w:val="00FC4CEF"/>
    <w:rsid w:val="00FD24B1"/>
    <w:rsid w:val="00FD386C"/>
    <w:rsid w:val="00FD4315"/>
    <w:rsid w:val="00FD4BE7"/>
    <w:rsid w:val="00FE703A"/>
    <w:rsid w:val="00FF5F2C"/>
    <w:rsid w:val="00FF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245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link w:val="12"/>
    <w:autoRedefine/>
    <w:rsid w:val="009B1ED0"/>
    <w:pPr>
      <w:tabs>
        <w:tab w:val="left" w:pos="0"/>
      </w:tabs>
      <w:jc w:val="both"/>
    </w:pPr>
    <w:rPr>
      <w:spacing w:val="1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586705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5867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F39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FA0C4B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FA0C4B"/>
    <w:rPr>
      <w:color w:val="0000FF"/>
      <w:u w:val="single"/>
    </w:rPr>
  </w:style>
  <w:style w:type="character" w:customStyle="1" w:styleId="af">
    <w:name w:val="Основной текст_"/>
    <w:basedOn w:val="a0"/>
    <w:link w:val="2"/>
    <w:rsid w:val="00A301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"/>
    <w:rsid w:val="00A301D9"/>
    <w:pPr>
      <w:widowControl w:val="0"/>
      <w:shd w:val="clear" w:color="auto" w:fill="FFFFFF"/>
      <w:spacing w:before="600" w:after="240" w:line="307" w:lineRule="exact"/>
      <w:jc w:val="center"/>
    </w:pPr>
    <w:rPr>
      <w:sz w:val="26"/>
      <w:szCs w:val="26"/>
      <w:lang w:eastAsia="en-US"/>
    </w:rPr>
  </w:style>
  <w:style w:type="character" w:customStyle="1" w:styleId="13">
    <w:name w:val="Основной текст1"/>
    <w:basedOn w:val="af"/>
    <w:rsid w:val="00A301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301D9"/>
    <w:rPr>
      <w:rFonts w:ascii="Times New Roman" w:eastAsia="Times New Roman" w:hAnsi="Times New Roman" w:cs="Times New Roman"/>
      <w:color w:val="000000"/>
      <w:spacing w:val="-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0">
    <w:name w:val="Normal (Web)"/>
    <w:basedOn w:val="a"/>
    <w:uiPriority w:val="99"/>
    <w:unhideWhenUsed/>
    <w:rsid w:val="007C3D38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Стиль1 Знак"/>
    <w:link w:val="11"/>
    <w:rsid w:val="002C76AE"/>
    <w:rPr>
      <w:rFonts w:ascii="Times New Roman" w:eastAsia="Times New Roman" w:hAnsi="Times New Roman" w:cs="Times New Roman"/>
      <w:spacing w:val="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A245E"/>
    <w:rPr>
      <w:rFonts w:ascii="Arial" w:hAnsi="Arial" w:cs="Arial"/>
      <w:b/>
      <w:bCs/>
      <w:color w:val="26282F"/>
      <w:sz w:val="24"/>
      <w:szCs w:val="24"/>
    </w:rPr>
  </w:style>
  <w:style w:type="character" w:styleId="af1">
    <w:name w:val="Strong"/>
    <w:basedOn w:val="a0"/>
    <w:uiPriority w:val="22"/>
    <w:qFormat/>
    <w:rsid w:val="002760A7"/>
    <w:rPr>
      <w:b/>
      <w:bCs/>
    </w:rPr>
  </w:style>
  <w:style w:type="character" w:customStyle="1" w:styleId="af2">
    <w:name w:val="Гипертекстовая ссылка"/>
    <w:basedOn w:val="a0"/>
    <w:uiPriority w:val="99"/>
    <w:rsid w:val="00921286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921286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921286"/>
    <w:rPr>
      <w:i/>
      <w:iCs/>
    </w:rPr>
  </w:style>
  <w:style w:type="paragraph" w:customStyle="1" w:styleId="s1">
    <w:name w:val="s_1"/>
    <w:basedOn w:val="a"/>
    <w:rsid w:val="007F3F02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C20524"/>
  </w:style>
  <w:style w:type="table" w:styleId="af5">
    <w:name w:val="Table Grid"/>
    <w:basedOn w:val="a1"/>
    <w:uiPriority w:val="59"/>
    <w:rsid w:val="006E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95D75038767DFA1333C29047E0EDE33726CE622C2B9F8FA47935AEC528A1503EB3D99A731E34277EB8DBC9243E58937AiC3F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D95D75038767DFA1333DC9D518CB1EC372C92682D2A97DAFF2B33F99A78A7056CF387C3225E7F2A7AA2C7C922i232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59183-088A-4CBA-AE7D-6D5B735C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8341</TotalTime>
  <Pages>15</Pages>
  <Words>5714</Words>
  <Characters>32573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38211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Марина Родькина</cp:lastModifiedBy>
  <cp:revision>245</cp:revision>
  <cp:lastPrinted>2023-10-18T08:44:00Z</cp:lastPrinted>
  <dcterms:created xsi:type="dcterms:W3CDTF">2018-09-19T14:04:00Z</dcterms:created>
  <dcterms:modified xsi:type="dcterms:W3CDTF">2023-10-25T12:36:00Z</dcterms:modified>
</cp:coreProperties>
</file>