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17" w:rsidRPr="00FA7717" w:rsidRDefault="003F2C08" w:rsidP="00FA7717">
      <w:pPr>
        <w:pStyle w:val="1"/>
        <w:jc w:val="center"/>
        <w:rPr>
          <w:color w:val="auto"/>
        </w:rPr>
      </w:pPr>
      <w:r>
        <w:rPr>
          <w:color w:val="auto"/>
          <w:lang w:val="en-US"/>
        </w:rPr>
        <w:t>II</w:t>
      </w:r>
      <w:r w:rsidRPr="003F2C08">
        <w:rPr>
          <w:color w:val="auto"/>
        </w:rPr>
        <w:t xml:space="preserve">. </w:t>
      </w:r>
      <w:r w:rsidR="00FA7717" w:rsidRPr="00FA7717">
        <w:rPr>
          <w:color w:val="auto"/>
        </w:rPr>
        <w:t>Сведения об оценке эффективности реализации</w:t>
      </w:r>
    </w:p>
    <w:p w:rsidR="001962F6" w:rsidRDefault="00B72084" w:rsidP="00014A53">
      <w:pPr>
        <w:pStyle w:val="a3"/>
        <w:ind w:left="394"/>
        <w:jc w:val="center"/>
        <w:rPr>
          <w:b/>
        </w:rPr>
      </w:pPr>
      <w:r w:rsidRPr="004715A2">
        <w:rPr>
          <w:b/>
        </w:rPr>
        <w:t>муниципальных Программ</w:t>
      </w:r>
      <w:r w:rsidR="001962F6">
        <w:rPr>
          <w:b/>
        </w:rPr>
        <w:t xml:space="preserve"> городского округа Кинешма</w:t>
      </w:r>
    </w:p>
    <w:p w:rsidR="00014A53" w:rsidRDefault="00B72084" w:rsidP="00014A53">
      <w:pPr>
        <w:pStyle w:val="a3"/>
        <w:ind w:left="394"/>
        <w:jc w:val="center"/>
        <w:rPr>
          <w:b/>
        </w:rPr>
      </w:pPr>
      <w:r w:rsidRPr="004715A2">
        <w:rPr>
          <w:b/>
        </w:rPr>
        <w:t xml:space="preserve"> в 20</w:t>
      </w:r>
      <w:r w:rsidR="00105277">
        <w:rPr>
          <w:b/>
        </w:rPr>
        <w:t>2</w:t>
      </w:r>
      <w:r w:rsidR="00364C60">
        <w:rPr>
          <w:b/>
        </w:rPr>
        <w:t>4</w:t>
      </w:r>
      <w:r w:rsidRPr="004715A2">
        <w:rPr>
          <w:b/>
        </w:rPr>
        <w:t xml:space="preserve"> году</w:t>
      </w:r>
    </w:p>
    <w:p w:rsidR="00FA7717" w:rsidRDefault="00FA7717" w:rsidP="00014A53">
      <w:pPr>
        <w:pStyle w:val="a3"/>
        <w:ind w:left="394"/>
        <w:jc w:val="center"/>
        <w:rPr>
          <w:b/>
        </w:rPr>
      </w:pPr>
    </w:p>
    <w:p w:rsidR="00C02C40" w:rsidRPr="00014A53" w:rsidRDefault="00C02C40" w:rsidP="00FA7717">
      <w:pPr>
        <w:pStyle w:val="a3"/>
        <w:ind w:left="0" w:firstLine="709"/>
        <w:jc w:val="both"/>
        <w:rPr>
          <w:b/>
        </w:rPr>
      </w:pPr>
      <w:r>
        <w:t xml:space="preserve">В соответствии с методикой оценки </w:t>
      </w:r>
      <w:r w:rsidR="00581495">
        <w:t xml:space="preserve"> эффективности реализации муниципальных программ городского округа Кинешма</w:t>
      </w:r>
      <w:r w:rsidR="00C66BCB">
        <w:t xml:space="preserve"> (далее – Программа)</w:t>
      </w:r>
      <w:r w:rsidR="00581495">
        <w:t xml:space="preserve">, утвержденной постановлением администрации городского округа Кинешма от 11.11.2013 №2556п, </w:t>
      </w:r>
      <w:r w:rsidR="0051408A">
        <w:t xml:space="preserve">управлением экономического развития, торговли и транспорта </w:t>
      </w:r>
      <w:r w:rsidR="0087367D">
        <w:t xml:space="preserve">администрации городского округа Кинешма проведена оценка эффективности реализации муниципальных </w:t>
      </w:r>
      <w:r w:rsidR="00034A83">
        <w:t>П</w:t>
      </w:r>
      <w:r w:rsidR="0087367D">
        <w:t>рограмм за 20</w:t>
      </w:r>
      <w:r w:rsidR="00276EC6">
        <w:t>2</w:t>
      </w:r>
      <w:r w:rsidR="00393ED1">
        <w:t>4</w:t>
      </w:r>
      <w:r w:rsidR="0087367D">
        <w:t xml:space="preserve"> год</w:t>
      </w:r>
      <w:r w:rsidR="00FA7717">
        <w:t xml:space="preserve"> (далее</w:t>
      </w:r>
      <w:r w:rsidR="00C66BCB">
        <w:t>–оценка эффективности)</w:t>
      </w:r>
      <w:r w:rsidR="0087367D">
        <w:t>.</w:t>
      </w:r>
    </w:p>
    <w:p w:rsidR="0087367D" w:rsidRDefault="0087367D" w:rsidP="00FA7717">
      <w:pPr>
        <w:pStyle w:val="a3"/>
        <w:ind w:left="0" w:firstLine="709"/>
        <w:jc w:val="both"/>
      </w:pPr>
      <w:r>
        <w:t xml:space="preserve">Оценка эффективности проводится в целях предоставления полной и объективной информации о ходе выполнения и реализации муниципальных </w:t>
      </w:r>
      <w:r w:rsidR="00362FE9">
        <w:t>П</w:t>
      </w:r>
      <w:r>
        <w:t>рограмм в отчетном периоде, а также выявления низкоэффективных</w:t>
      </w:r>
      <w:r w:rsidR="00C66BCB">
        <w:t xml:space="preserve"> и неэффективных муниципальных </w:t>
      </w:r>
      <w:r w:rsidR="00362FE9">
        <w:t>П</w:t>
      </w:r>
      <w:r w:rsidR="00C66BCB">
        <w:t>рограмм для принятия корректирующих в отношении данных муниципальных программ решений.</w:t>
      </w:r>
    </w:p>
    <w:p w:rsidR="00713584" w:rsidRPr="00247502" w:rsidRDefault="00713584" w:rsidP="00247502">
      <w:pPr>
        <w:shd w:val="clear" w:color="auto" w:fill="FFFFFF"/>
        <w:ind w:firstLine="709"/>
        <w:jc w:val="both"/>
        <w:rPr>
          <w:color w:val="000000"/>
        </w:rPr>
      </w:pPr>
      <w:r w:rsidRPr="00713584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муниципальных П</w:t>
      </w:r>
      <w:r w:rsidRPr="00713584">
        <w:rPr>
          <w:color w:val="000000"/>
        </w:rPr>
        <w:t>рограмм</w:t>
      </w:r>
      <w:r>
        <w:rPr>
          <w:color w:val="000000"/>
        </w:rPr>
        <w:t xml:space="preserve"> </w:t>
      </w:r>
      <w:r w:rsidRPr="00713584">
        <w:rPr>
          <w:color w:val="000000"/>
        </w:rPr>
        <w:t>основана на сопоставлении степени достижения планируемых значений</w:t>
      </w:r>
      <w:r>
        <w:rPr>
          <w:color w:val="000000"/>
        </w:rPr>
        <w:t xml:space="preserve"> </w:t>
      </w:r>
      <w:r w:rsidRPr="00713584">
        <w:rPr>
          <w:color w:val="000000"/>
        </w:rPr>
        <w:t xml:space="preserve">целевых индикаторов (показателей) </w:t>
      </w:r>
      <w:r w:rsidR="002E1BB7">
        <w:rPr>
          <w:color w:val="000000"/>
        </w:rPr>
        <w:t>муниципальных</w:t>
      </w:r>
      <w:r w:rsidRPr="00713584">
        <w:rPr>
          <w:color w:val="000000"/>
        </w:rPr>
        <w:t xml:space="preserve"> </w:t>
      </w:r>
      <w:r w:rsidR="001962F6">
        <w:rPr>
          <w:color w:val="000000"/>
        </w:rPr>
        <w:t>П</w:t>
      </w:r>
      <w:r w:rsidRPr="00713584">
        <w:rPr>
          <w:color w:val="000000"/>
        </w:rPr>
        <w:t>рограмм и степени</w:t>
      </w:r>
      <w:r w:rsidR="002E1BB7">
        <w:rPr>
          <w:color w:val="000000"/>
        </w:rPr>
        <w:t xml:space="preserve"> </w:t>
      </w:r>
      <w:r w:rsidRPr="00713584">
        <w:rPr>
          <w:color w:val="000000"/>
        </w:rPr>
        <w:t>соответствия запланированному уровню расходов и эффективности</w:t>
      </w:r>
      <w:r w:rsidR="002E1BB7">
        <w:rPr>
          <w:color w:val="000000"/>
        </w:rPr>
        <w:t xml:space="preserve">  </w:t>
      </w:r>
      <w:r w:rsidRPr="00713584">
        <w:rPr>
          <w:color w:val="000000"/>
        </w:rPr>
        <w:t>использования бюджетных средств. Степень достижения планируемых</w:t>
      </w:r>
      <w:r w:rsidR="002E1BB7">
        <w:rPr>
          <w:color w:val="000000"/>
        </w:rPr>
        <w:t xml:space="preserve"> </w:t>
      </w:r>
      <w:r w:rsidRPr="00713584">
        <w:rPr>
          <w:color w:val="000000"/>
        </w:rPr>
        <w:t xml:space="preserve">значений целевых индикаторов (показателей) </w:t>
      </w:r>
      <w:r w:rsidR="002E1BB7">
        <w:rPr>
          <w:color w:val="000000"/>
        </w:rPr>
        <w:t xml:space="preserve">муниципальных </w:t>
      </w:r>
      <w:r w:rsidRPr="00713584">
        <w:rPr>
          <w:color w:val="000000"/>
        </w:rPr>
        <w:t xml:space="preserve"> </w:t>
      </w:r>
      <w:r w:rsidR="001962F6">
        <w:rPr>
          <w:color w:val="000000"/>
        </w:rPr>
        <w:t>П</w:t>
      </w:r>
      <w:r w:rsidRPr="00713584">
        <w:rPr>
          <w:color w:val="000000"/>
        </w:rPr>
        <w:t>рограмм</w:t>
      </w:r>
      <w:r w:rsidR="002E1BB7">
        <w:rPr>
          <w:color w:val="000000"/>
        </w:rPr>
        <w:t xml:space="preserve"> </w:t>
      </w:r>
      <w:r w:rsidRPr="00713584">
        <w:rPr>
          <w:color w:val="000000"/>
        </w:rPr>
        <w:t>определяется на основе показателей, планируемых к достижению в отчетном</w:t>
      </w:r>
      <w:r w:rsidR="00927502">
        <w:rPr>
          <w:color w:val="000000"/>
        </w:rPr>
        <w:t xml:space="preserve"> </w:t>
      </w:r>
      <w:r w:rsidRPr="00713584">
        <w:rPr>
          <w:color w:val="000000"/>
        </w:rPr>
        <w:t>году, и реализуемых за счет мероприятий, финансирование которых</w:t>
      </w:r>
      <w:r w:rsidR="00927502">
        <w:rPr>
          <w:color w:val="000000"/>
        </w:rPr>
        <w:t xml:space="preserve"> </w:t>
      </w:r>
      <w:r w:rsidRPr="00713584">
        <w:rPr>
          <w:color w:val="000000"/>
        </w:rPr>
        <w:t>осуществлялось за счет средств бюджетов</w:t>
      </w:r>
      <w:r w:rsidR="00927502">
        <w:rPr>
          <w:color w:val="000000"/>
        </w:rPr>
        <w:t xml:space="preserve"> всех уровней</w:t>
      </w:r>
      <w:r w:rsidRPr="00713584">
        <w:rPr>
          <w:color w:val="000000"/>
        </w:rPr>
        <w:t>.</w:t>
      </w:r>
    </w:p>
    <w:p w:rsidR="00C66BCB" w:rsidRDefault="00C66BCB" w:rsidP="00FA7717">
      <w:pPr>
        <w:pStyle w:val="a3"/>
        <w:ind w:left="0" w:firstLine="709"/>
        <w:jc w:val="both"/>
      </w:pPr>
      <w:r>
        <w:t xml:space="preserve">Оценка эффективности проведена в отношении 16 муниципальных </w:t>
      </w:r>
      <w:r w:rsidR="007D577B">
        <w:t>П</w:t>
      </w:r>
      <w:r>
        <w:t>рограмм городского округа Кинешма</w:t>
      </w:r>
      <w:r w:rsidR="00F47F02">
        <w:t xml:space="preserve"> и </w:t>
      </w:r>
      <w:r w:rsidR="003700F0" w:rsidRPr="00125C8E">
        <w:t>3</w:t>
      </w:r>
      <w:r w:rsidR="0002315E" w:rsidRPr="00125C8E">
        <w:t>7</w:t>
      </w:r>
      <w:r w:rsidR="00B54769" w:rsidRPr="002E0039">
        <w:rPr>
          <w:color w:val="C0504D" w:themeColor="accent2"/>
        </w:rPr>
        <w:t xml:space="preserve"> </w:t>
      </w:r>
      <w:r>
        <w:t>подпрограмм.</w:t>
      </w:r>
    </w:p>
    <w:p w:rsidR="00C66BCB" w:rsidRDefault="00C66BCB" w:rsidP="00FA7717">
      <w:pPr>
        <w:pStyle w:val="a3"/>
        <w:ind w:left="0" w:firstLine="709"/>
        <w:jc w:val="both"/>
      </w:pPr>
      <w:r>
        <w:t xml:space="preserve">По результатам проведенной оценки эффективности высокоэффективными муниципальными </w:t>
      </w:r>
      <w:r w:rsidR="007D577B">
        <w:t>П</w:t>
      </w:r>
      <w:r>
        <w:t xml:space="preserve">рограммами признаны </w:t>
      </w:r>
      <w:r w:rsidR="00125C8E">
        <w:t>1</w:t>
      </w:r>
      <w:r w:rsidR="00C01858">
        <w:t>3</w:t>
      </w:r>
      <w:r>
        <w:t xml:space="preserve"> Программ</w:t>
      </w:r>
      <w:r w:rsidR="005C7632">
        <w:t xml:space="preserve"> (в 202</w:t>
      </w:r>
      <w:r w:rsidR="002901E3">
        <w:t>3</w:t>
      </w:r>
      <w:r w:rsidR="005C7632">
        <w:t xml:space="preserve"> году-</w:t>
      </w:r>
      <w:r w:rsidR="00C01858">
        <w:t>13</w:t>
      </w:r>
      <w:r w:rsidR="005C7632">
        <w:t>)</w:t>
      </w:r>
      <w:r w:rsidR="00B82A6F">
        <w:t>, что составляет</w:t>
      </w:r>
      <w:r w:rsidR="009E333C">
        <w:t xml:space="preserve"> </w:t>
      </w:r>
      <w:r w:rsidR="00C01858">
        <w:t>81</w:t>
      </w:r>
      <w:r w:rsidR="004267C2">
        <w:t>,3</w:t>
      </w:r>
      <w:r w:rsidR="009E333C" w:rsidRPr="00FA7717">
        <w:t>%</w:t>
      </w:r>
      <w:r w:rsidR="00B82A6F" w:rsidRPr="00FA7717">
        <w:t xml:space="preserve"> </w:t>
      </w:r>
      <w:r w:rsidR="00B82A6F">
        <w:t>от общего количества Программ</w:t>
      </w:r>
      <w:r w:rsidR="009E333C">
        <w:t>.</w:t>
      </w:r>
    </w:p>
    <w:p w:rsidR="00B82A6F" w:rsidRDefault="00B82A6F" w:rsidP="00FA7717">
      <w:pPr>
        <w:pStyle w:val="a3"/>
        <w:ind w:left="0" w:firstLine="709"/>
        <w:jc w:val="both"/>
      </w:pPr>
      <w:r>
        <w:t>Эффективны</w:t>
      </w:r>
      <w:r w:rsidR="00242BED">
        <w:t>е</w:t>
      </w:r>
      <w:r>
        <w:t xml:space="preserve"> муниципальны</w:t>
      </w:r>
      <w:r w:rsidR="00242BED">
        <w:t xml:space="preserve">е </w:t>
      </w:r>
      <w:r>
        <w:t xml:space="preserve"> </w:t>
      </w:r>
      <w:r w:rsidR="007D577B">
        <w:t>П</w:t>
      </w:r>
      <w:r>
        <w:t>рограмм</w:t>
      </w:r>
      <w:r w:rsidR="00242BED">
        <w:t>ы</w:t>
      </w:r>
      <w:r>
        <w:t xml:space="preserve"> </w:t>
      </w:r>
      <w:r w:rsidR="00242BED">
        <w:t>отсутствуют</w:t>
      </w:r>
      <w:r w:rsidR="005C7632">
        <w:t xml:space="preserve"> (в 202</w:t>
      </w:r>
      <w:r w:rsidR="002901E3">
        <w:t>3</w:t>
      </w:r>
      <w:r w:rsidR="005C7632">
        <w:t xml:space="preserve"> году -</w:t>
      </w:r>
      <w:r w:rsidR="00C01858">
        <w:t>3</w:t>
      </w:r>
      <w:r w:rsidR="005C7632">
        <w:t>)</w:t>
      </w:r>
      <w:r w:rsidR="00FA7717">
        <w:t>.</w:t>
      </w:r>
    </w:p>
    <w:p w:rsidR="00C01858" w:rsidRPr="00FA7717" w:rsidRDefault="00C01858" w:rsidP="00FA7717">
      <w:pPr>
        <w:pStyle w:val="a3"/>
        <w:ind w:left="0" w:firstLine="709"/>
        <w:jc w:val="both"/>
      </w:pPr>
      <w:r>
        <w:t>Низкоэффективн</w:t>
      </w:r>
      <w:r w:rsidR="00242BED">
        <w:t xml:space="preserve">ыми </w:t>
      </w:r>
      <w:r>
        <w:t>муниципальн</w:t>
      </w:r>
      <w:r w:rsidR="00242BED">
        <w:t>ыми</w:t>
      </w:r>
      <w:r>
        <w:t xml:space="preserve"> Программ</w:t>
      </w:r>
      <w:r w:rsidR="00242BED">
        <w:t>ами</w:t>
      </w:r>
      <w:r>
        <w:t xml:space="preserve"> </w:t>
      </w:r>
      <w:proofErr w:type="gramStart"/>
      <w:r>
        <w:t>признан</w:t>
      </w:r>
      <w:r w:rsidR="00242BED">
        <w:t>ы</w:t>
      </w:r>
      <w:proofErr w:type="gramEnd"/>
      <w:r>
        <w:t xml:space="preserve"> -</w:t>
      </w:r>
      <w:r w:rsidR="00B37EF4">
        <w:t>2</w:t>
      </w:r>
      <w:r>
        <w:t xml:space="preserve"> (в 202</w:t>
      </w:r>
      <w:r w:rsidR="002901E3">
        <w:t>3</w:t>
      </w:r>
      <w:r>
        <w:t xml:space="preserve"> году-</w:t>
      </w:r>
      <w:r w:rsidR="00B37EF4">
        <w:t>отсутствуют</w:t>
      </w:r>
      <w:r>
        <w:t>) (</w:t>
      </w:r>
      <w:r w:rsidR="00B37EF4">
        <w:t>12,5</w:t>
      </w:r>
      <w:r>
        <w:t>%)</w:t>
      </w:r>
    </w:p>
    <w:p w:rsidR="00E75603" w:rsidRDefault="004267C2" w:rsidP="00627F33">
      <w:pPr>
        <w:shd w:val="clear" w:color="auto" w:fill="FFFFFF"/>
        <w:ind w:firstLine="709"/>
        <w:jc w:val="both"/>
      </w:pPr>
      <w:r>
        <w:t>Н</w:t>
      </w:r>
      <w:r w:rsidR="00DD3059">
        <w:t>еэффективн</w:t>
      </w:r>
      <w:r w:rsidR="00B37EF4">
        <w:t>ой</w:t>
      </w:r>
      <w:r w:rsidR="00DD3059">
        <w:t xml:space="preserve"> муниципальн</w:t>
      </w:r>
      <w:r w:rsidR="00242BED">
        <w:t>ой</w:t>
      </w:r>
      <w:r w:rsidR="00DD3059">
        <w:t xml:space="preserve"> Программ</w:t>
      </w:r>
      <w:r w:rsidR="002901E3">
        <w:t xml:space="preserve">ой </w:t>
      </w:r>
      <w:proofErr w:type="gramStart"/>
      <w:r w:rsidR="002901E3">
        <w:t>признана</w:t>
      </w:r>
      <w:proofErr w:type="gramEnd"/>
      <w:r w:rsidR="002901E3">
        <w:t xml:space="preserve"> -1 (в 2023 году </w:t>
      </w:r>
      <w:r w:rsidR="00DD3059">
        <w:t xml:space="preserve"> </w:t>
      </w:r>
      <w:r w:rsidR="001962F6">
        <w:t>отсутствуют</w:t>
      </w:r>
      <w:r w:rsidR="00B37EF4">
        <w:t>) (6,2%)</w:t>
      </w:r>
      <w:r w:rsidR="00DD3059">
        <w:t>.</w:t>
      </w:r>
    </w:p>
    <w:p w:rsidR="00E16569" w:rsidRDefault="00E16569" w:rsidP="00E16569">
      <w:pPr>
        <w:shd w:val="clear" w:color="auto" w:fill="FFFFFF"/>
        <w:ind w:firstLine="709"/>
        <w:jc w:val="both"/>
      </w:pPr>
      <w:r>
        <w:t>Низкоэффективной признаны следующие муниципальные Программы:</w:t>
      </w:r>
    </w:p>
    <w:p w:rsidR="00E16569" w:rsidRPr="00942F39" w:rsidRDefault="00E16569" w:rsidP="00E16569">
      <w:pPr>
        <w:shd w:val="clear" w:color="auto" w:fill="FFFFFF"/>
        <w:ind w:firstLine="709"/>
        <w:jc w:val="both"/>
      </w:pPr>
      <w:r>
        <w:t xml:space="preserve">- </w:t>
      </w:r>
      <w:r w:rsidRPr="00942F39">
        <w:t xml:space="preserve">«Поддержка и развитие малого предпринимательства в городском округе Кинешма» сложилась в результате </w:t>
      </w:r>
      <w:proofErr w:type="spellStart"/>
      <w:r w:rsidRPr="00942F39">
        <w:t>недоосвоения</w:t>
      </w:r>
      <w:proofErr w:type="spellEnd"/>
      <w:r w:rsidRPr="00942F39">
        <w:t xml:space="preserve"> предусмотренных муниципальной программой на 2024 год бюджетных ассигнований (степень освоения бюджетных средств – 76,7%</w:t>
      </w:r>
      <w:r w:rsidR="00480924" w:rsidRPr="00942F39">
        <w:t>)</w:t>
      </w:r>
      <w:r w:rsidR="004001B0" w:rsidRPr="00942F39">
        <w:t>,</w:t>
      </w:r>
      <w:r w:rsidRPr="00942F39">
        <w:t xml:space="preserve"> </w:t>
      </w:r>
      <w:r w:rsidR="004001B0" w:rsidRPr="00942F39">
        <w:t xml:space="preserve">а также отсутствие своевременной корректировки </w:t>
      </w:r>
      <w:r w:rsidR="00480924" w:rsidRPr="00942F39">
        <w:t>целевых индикаторов (показателей) программы</w:t>
      </w:r>
      <w:r w:rsidR="004001B0" w:rsidRPr="00942F39">
        <w:t>.</w:t>
      </w:r>
      <w:r w:rsidR="00FE6842" w:rsidRPr="00942F39">
        <w:t xml:space="preserve"> Администратор Программы не смог повлиять на </w:t>
      </w:r>
      <w:r w:rsidR="00257525" w:rsidRPr="00942F39">
        <w:t>выполнение</w:t>
      </w:r>
      <w:r w:rsidR="00FE6842" w:rsidRPr="00942F39">
        <w:t xml:space="preserve"> объема финансирования в соответствии с Программой, </w:t>
      </w:r>
      <w:r w:rsidR="00942F39" w:rsidRPr="00942F39">
        <w:t>в виду того, что заявител</w:t>
      </w:r>
      <w:r w:rsidR="00942F39">
        <w:t>ю на получение субсидии на возмещение части недополученных доходов при оказании социальн</w:t>
      </w:r>
      <w:proofErr w:type="gramStart"/>
      <w:r w:rsidR="00942F39">
        <w:t>о</w:t>
      </w:r>
      <w:r w:rsidR="001230E4">
        <w:t>-</w:t>
      </w:r>
      <w:proofErr w:type="gramEnd"/>
      <w:r w:rsidR="00942F39">
        <w:t xml:space="preserve"> </w:t>
      </w:r>
      <w:r w:rsidR="0084293C">
        <w:t xml:space="preserve">       </w:t>
      </w:r>
      <w:r w:rsidR="00942F39">
        <w:t>знач</w:t>
      </w:r>
      <w:r w:rsidR="001230E4">
        <w:t>и</w:t>
      </w:r>
      <w:r w:rsidR="00942F39">
        <w:t xml:space="preserve">мых бытовых услуг льготным категориям граждан начали возмещать </w:t>
      </w:r>
      <w:r w:rsidR="00942F39" w:rsidRPr="00942F39">
        <w:t xml:space="preserve"> </w:t>
      </w:r>
      <w:r w:rsidR="001230E4">
        <w:t>с</w:t>
      </w:r>
      <w:r w:rsidR="00942F39" w:rsidRPr="00942F39">
        <w:t xml:space="preserve"> август</w:t>
      </w:r>
      <w:r w:rsidR="001230E4">
        <w:t xml:space="preserve">а </w:t>
      </w:r>
      <w:r w:rsidR="00942F39" w:rsidRPr="00942F39">
        <w:t xml:space="preserve"> 2024 года</w:t>
      </w:r>
      <w:r w:rsidR="0084293C">
        <w:t xml:space="preserve"> (</w:t>
      </w:r>
      <w:r w:rsidR="009A2BE6">
        <w:t>в связи с существенными изменениями в критери</w:t>
      </w:r>
      <w:r w:rsidR="008417C8">
        <w:t>ях</w:t>
      </w:r>
      <w:r w:rsidR="009A2BE6">
        <w:t xml:space="preserve"> </w:t>
      </w:r>
      <w:r w:rsidR="009A2BE6">
        <w:lastRenderedPageBreak/>
        <w:t xml:space="preserve">предоставления  денежных средств  </w:t>
      </w:r>
      <w:r w:rsidR="0084293C">
        <w:t>порядок  предоставлени</w:t>
      </w:r>
      <w:r w:rsidR="009A2BE6">
        <w:t>я</w:t>
      </w:r>
      <w:r w:rsidR="0084293C">
        <w:t xml:space="preserve"> субсидии утвержден в июне 2024 года)</w:t>
      </w:r>
      <w:r w:rsidR="00942F39" w:rsidRPr="00942F39">
        <w:t>.</w:t>
      </w:r>
    </w:p>
    <w:p w:rsidR="00E16569" w:rsidRDefault="00E16569" w:rsidP="00FE6842">
      <w:pPr>
        <w:shd w:val="clear" w:color="auto" w:fill="FFFFFF"/>
        <w:ind w:firstLine="709"/>
        <w:jc w:val="both"/>
        <w:rPr>
          <w:color w:val="000000"/>
        </w:rPr>
      </w:pPr>
      <w:r>
        <w:t xml:space="preserve">- «Обеспечение качественным жильем, услугами </w:t>
      </w:r>
      <w:proofErr w:type="spellStart"/>
      <w:r>
        <w:t>жилищно</w:t>
      </w:r>
      <w:proofErr w:type="spellEnd"/>
      <w:r>
        <w:t xml:space="preserve"> – коммунального хозяйства населения городского округа Кинешма».</w:t>
      </w:r>
      <w:r w:rsidRPr="00E75603">
        <w:rPr>
          <w:color w:val="000000"/>
        </w:rPr>
        <w:t xml:space="preserve"> </w:t>
      </w:r>
      <w:r w:rsidRPr="007A4002">
        <w:rPr>
          <w:color w:val="000000"/>
        </w:rPr>
        <w:t xml:space="preserve">Низкая оценка эффективности реализации </w:t>
      </w:r>
      <w:r>
        <w:rPr>
          <w:color w:val="000000"/>
        </w:rPr>
        <w:t>данной Программы</w:t>
      </w:r>
      <w:r w:rsidRPr="007A4002">
        <w:rPr>
          <w:color w:val="000000"/>
        </w:rPr>
        <w:t xml:space="preserve"> сложилась в результате</w:t>
      </w:r>
      <w:r>
        <w:rPr>
          <w:color w:val="000000"/>
        </w:rPr>
        <w:t xml:space="preserve"> </w:t>
      </w:r>
      <w:r w:rsidRPr="007A4002">
        <w:rPr>
          <w:color w:val="000000"/>
        </w:rPr>
        <w:t>недоосвоения</w:t>
      </w:r>
      <w:r>
        <w:rPr>
          <w:color w:val="000000"/>
        </w:rPr>
        <w:t xml:space="preserve"> </w:t>
      </w:r>
      <w:r w:rsidRPr="007A4002">
        <w:rPr>
          <w:color w:val="000000"/>
        </w:rPr>
        <w:t xml:space="preserve">предусмотренных </w:t>
      </w:r>
      <w:r>
        <w:rPr>
          <w:color w:val="000000"/>
        </w:rPr>
        <w:t>муниципальной</w:t>
      </w:r>
      <w:r w:rsidRPr="007A4002">
        <w:rPr>
          <w:color w:val="000000"/>
        </w:rPr>
        <w:t xml:space="preserve"> программой на 20</w:t>
      </w:r>
      <w:r>
        <w:rPr>
          <w:color w:val="000000"/>
        </w:rPr>
        <w:t>2</w:t>
      </w:r>
      <w:r w:rsidR="00480924">
        <w:rPr>
          <w:color w:val="000000"/>
        </w:rPr>
        <w:t>4</w:t>
      </w:r>
      <w:r>
        <w:rPr>
          <w:color w:val="000000"/>
        </w:rPr>
        <w:t xml:space="preserve"> </w:t>
      </w:r>
      <w:r w:rsidRPr="007A4002">
        <w:rPr>
          <w:color w:val="000000"/>
        </w:rPr>
        <w:t>год бюджетных</w:t>
      </w:r>
      <w:r>
        <w:rPr>
          <w:color w:val="000000"/>
        </w:rPr>
        <w:t xml:space="preserve"> </w:t>
      </w:r>
      <w:r w:rsidRPr="007A4002">
        <w:rPr>
          <w:color w:val="000000"/>
        </w:rPr>
        <w:t xml:space="preserve">ассигнований (степень освоения бюджетных </w:t>
      </w:r>
      <w:r>
        <w:rPr>
          <w:color w:val="000000"/>
        </w:rPr>
        <w:t>средств</w:t>
      </w:r>
      <w:r w:rsidRPr="007A4002">
        <w:rPr>
          <w:color w:val="000000"/>
        </w:rPr>
        <w:t xml:space="preserve"> – </w:t>
      </w:r>
      <w:r w:rsidR="00480924">
        <w:rPr>
          <w:color w:val="000000"/>
        </w:rPr>
        <w:t>81,7</w:t>
      </w:r>
      <w:r w:rsidRPr="007A4002">
        <w:rPr>
          <w:color w:val="000000"/>
        </w:rPr>
        <w:t>%</w:t>
      </w:r>
      <w:r>
        <w:rPr>
          <w:color w:val="000000"/>
        </w:rPr>
        <w:t xml:space="preserve"> по причине пересмотра сроков реализации мероприятий, </w:t>
      </w:r>
      <w:r w:rsidR="008417C8">
        <w:rPr>
          <w:color w:val="000000"/>
        </w:rPr>
        <w:t xml:space="preserve">частичная не востребованность выделенных </w:t>
      </w:r>
      <w:r w:rsidR="00480924">
        <w:rPr>
          <w:color w:val="000000"/>
        </w:rPr>
        <w:t xml:space="preserve"> денежных средств на приобретение товаров, работ, услуг)</w:t>
      </w:r>
      <w:r>
        <w:rPr>
          <w:color w:val="000000"/>
        </w:rPr>
        <w:t xml:space="preserve">, а также отсутствие своевременной корректировки </w:t>
      </w:r>
      <w:r w:rsidR="00FE6842">
        <w:rPr>
          <w:color w:val="000000"/>
        </w:rPr>
        <w:t xml:space="preserve">целевых индикаторов (показателей) Программы. </w:t>
      </w:r>
    </w:p>
    <w:p w:rsidR="00F0252A" w:rsidRDefault="00257525" w:rsidP="00225B1C">
      <w:pPr>
        <w:shd w:val="clear" w:color="auto" w:fill="FFFFFF"/>
        <w:ind w:firstLine="709"/>
        <w:jc w:val="both"/>
        <w:rPr>
          <w:color w:val="000000"/>
        </w:rPr>
      </w:pPr>
      <w:r>
        <w:t xml:space="preserve">Неэффективной муниципальной Программой признана программа  </w:t>
      </w:r>
      <w:r w:rsidRPr="00ED0389">
        <w:t>«Охрана окружающей среды»</w:t>
      </w:r>
      <w:r>
        <w:t>.</w:t>
      </w:r>
      <w:r w:rsidRPr="00ED0389">
        <w:t xml:space="preserve"> </w:t>
      </w:r>
      <w:r>
        <w:t xml:space="preserve"> </w:t>
      </w:r>
      <w:r w:rsidRPr="007A4002">
        <w:rPr>
          <w:color w:val="000000"/>
        </w:rPr>
        <w:t xml:space="preserve">Низкая оценка эффективности реализации </w:t>
      </w:r>
      <w:r>
        <w:rPr>
          <w:color w:val="000000"/>
        </w:rPr>
        <w:t>данной Программы</w:t>
      </w:r>
      <w:r w:rsidRPr="007A4002">
        <w:rPr>
          <w:color w:val="000000"/>
        </w:rPr>
        <w:t xml:space="preserve"> сложилась в результате</w:t>
      </w:r>
      <w:r>
        <w:rPr>
          <w:color w:val="000000"/>
        </w:rPr>
        <w:t xml:space="preserve"> отсутствия своевременной корректировки целевых индикаторов (показателей) Программы, неисполнения </w:t>
      </w:r>
      <w:r w:rsidR="00576690">
        <w:rPr>
          <w:color w:val="000000"/>
        </w:rPr>
        <w:t>условий муниципального контракта исполнителем</w:t>
      </w:r>
      <w:r w:rsidR="00617F20">
        <w:rPr>
          <w:color w:val="000000"/>
        </w:rPr>
        <w:t>, что влечет за собой его расторжение</w:t>
      </w:r>
      <w:r w:rsidR="00F0252A">
        <w:rPr>
          <w:color w:val="000000"/>
        </w:rPr>
        <w:t>.</w:t>
      </w:r>
    </w:p>
    <w:p w:rsidR="00257525" w:rsidRDefault="00F0252A" w:rsidP="00225B1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Очистные сооружения в г. Кинешма построены, разработан проект по  </w:t>
      </w:r>
      <w:r w:rsidR="00617F20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 xml:space="preserve"> консервации.</w:t>
      </w:r>
    </w:p>
    <w:p w:rsidR="00A56196" w:rsidRDefault="00A56196" w:rsidP="00A56196">
      <w:pPr>
        <w:shd w:val="clear" w:color="auto" w:fill="FFFFFF"/>
        <w:ind w:firstLine="709"/>
        <w:jc w:val="both"/>
        <w:rPr>
          <w:color w:val="000000"/>
        </w:rPr>
      </w:pPr>
      <w:r w:rsidRPr="00A56196">
        <w:rPr>
          <w:color w:val="000000"/>
        </w:rPr>
        <w:t>Расчет оценки эффективности реализации каждой подпрограммы,</w:t>
      </w:r>
      <w:r>
        <w:rPr>
          <w:color w:val="000000"/>
        </w:rPr>
        <w:t xml:space="preserve"> </w:t>
      </w:r>
      <w:r w:rsidRPr="00A56196">
        <w:rPr>
          <w:color w:val="000000"/>
        </w:rPr>
        <w:t xml:space="preserve">входящей в состав </w:t>
      </w:r>
      <w:r>
        <w:rPr>
          <w:color w:val="000000"/>
        </w:rPr>
        <w:t xml:space="preserve">муниципальной </w:t>
      </w:r>
      <w:r w:rsidRPr="00A56196">
        <w:rPr>
          <w:color w:val="000000"/>
        </w:rPr>
        <w:t>программы, определяется аналогично</w:t>
      </w:r>
      <w:r>
        <w:rPr>
          <w:color w:val="000000"/>
        </w:rPr>
        <w:t xml:space="preserve"> </w:t>
      </w:r>
      <w:r w:rsidRPr="00A56196">
        <w:rPr>
          <w:color w:val="000000"/>
        </w:rPr>
        <w:t xml:space="preserve">расчету оценки эффективности </w:t>
      </w:r>
      <w:r>
        <w:rPr>
          <w:color w:val="000000"/>
        </w:rPr>
        <w:t>муниципальной</w:t>
      </w:r>
      <w:r w:rsidRPr="00A56196">
        <w:rPr>
          <w:color w:val="000000"/>
        </w:rPr>
        <w:t xml:space="preserve"> </w:t>
      </w:r>
      <w:r w:rsidR="004866B4">
        <w:rPr>
          <w:color w:val="000000"/>
        </w:rPr>
        <w:t>П</w:t>
      </w:r>
      <w:r w:rsidRPr="00A56196">
        <w:rPr>
          <w:color w:val="000000"/>
        </w:rPr>
        <w:t>рограммы.</w:t>
      </w:r>
    </w:p>
    <w:p w:rsidR="00DC70CF" w:rsidRDefault="00DC70CF" w:rsidP="00DC70CF">
      <w:pPr>
        <w:pStyle w:val="a3"/>
        <w:ind w:left="0" w:firstLine="709"/>
        <w:jc w:val="both"/>
      </w:pPr>
      <w:r>
        <w:t xml:space="preserve">По результатам проведенной оценки эффективности высокоэффективными подпрограммами признаны </w:t>
      </w:r>
      <w:r w:rsidR="00C1048E">
        <w:t>32</w:t>
      </w:r>
      <w:r w:rsidR="005C7632">
        <w:t>(в 202</w:t>
      </w:r>
      <w:r w:rsidR="00C1048E">
        <w:t>3</w:t>
      </w:r>
      <w:r w:rsidR="005C7632">
        <w:t xml:space="preserve"> году -</w:t>
      </w:r>
      <w:r w:rsidR="00C1048E">
        <w:t>29</w:t>
      </w:r>
      <w:r w:rsidR="005C7632">
        <w:t>)</w:t>
      </w:r>
      <w:r>
        <w:t xml:space="preserve">, что составляет </w:t>
      </w:r>
      <w:r w:rsidR="00C1048E">
        <w:t>86,5</w:t>
      </w:r>
      <w:r w:rsidRPr="00FA7717">
        <w:t xml:space="preserve">% </w:t>
      </w:r>
      <w:r>
        <w:t>от общего количества подпрограмм.</w:t>
      </w:r>
    </w:p>
    <w:p w:rsidR="00DC70CF" w:rsidRDefault="00DC70CF" w:rsidP="00DC70CF">
      <w:pPr>
        <w:pStyle w:val="a3"/>
        <w:ind w:left="0" w:firstLine="709"/>
        <w:jc w:val="both"/>
      </w:pPr>
      <w:r>
        <w:t>Эффективн</w:t>
      </w:r>
      <w:r w:rsidR="00C1048E">
        <w:t>ой</w:t>
      </w:r>
      <w:r>
        <w:t xml:space="preserve"> подпрограмм</w:t>
      </w:r>
      <w:r w:rsidR="00C1048E">
        <w:t>ой</w:t>
      </w:r>
      <w:r>
        <w:t xml:space="preserve"> </w:t>
      </w:r>
      <w:proofErr w:type="gramStart"/>
      <w:r>
        <w:t>признан</w:t>
      </w:r>
      <w:r w:rsidR="00C1048E">
        <w:t>а</w:t>
      </w:r>
      <w:proofErr w:type="gramEnd"/>
      <w:r>
        <w:t xml:space="preserve"> </w:t>
      </w:r>
      <w:r w:rsidR="00D5496B">
        <w:t>–</w:t>
      </w:r>
      <w:r>
        <w:t xml:space="preserve"> </w:t>
      </w:r>
      <w:r w:rsidR="00C1048E">
        <w:t>1</w:t>
      </w:r>
      <w:r w:rsidR="00D5496B">
        <w:t xml:space="preserve"> (в 202</w:t>
      </w:r>
      <w:r w:rsidR="00C1048E">
        <w:t>3</w:t>
      </w:r>
      <w:r w:rsidR="00D5496B">
        <w:t xml:space="preserve"> году -</w:t>
      </w:r>
      <w:r w:rsidR="00C1048E">
        <w:t>6</w:t>
      </w:r>
      <w:r w:rsidR="00D5496B">
        <w:t>)</w:t>
      </w:r>
      <w:r w:rsidRPr="00FA7717">
        <w:t>(</w:t>
      </w:r>
      <w:r w:rsidR="00C1048E">
        <w:t>2,7</w:t>
      </w:r>
      <w:r w:rsidRPr="00FA7717">
        <w:t>%)</w:t>
      </w:r>
      <w:r>
        <w:t>.</w:t>
      </w:r>
    </w:p>
    <w:p w:rsidR="00C1048E" w:rsidRDefault="00C1048E" w:rsidP="00DC70CF">
      <w:pPr>
        <w:pStyle w:val="a3"/>
        <w:ind w:left="0" w:firstLine="709"/>
        <w:jc w:val="both"/>
      </w:pPr>
      <w:r>
        <w:t xml:space="preserve">Низкоэффективной подпрограммой </w:t>
      </w:r>
      <w:proofErr w:type="gramStart"/>
      <w:r>
        <w:t>признана</w:t>
      </w:r>
      <w:proofErr w:type="gramEnd"/>
      <w:r w:rsidR="00031869">
        <w:t xml:space="preserve"> </w:t>
      </w:r>
      <w:r>
        <w:t>- 1(в 2023 году отсутствуют) (2,7%)</w:t>
      </w:r>
    </w:p>
    <w:p w:rsidR="00364C60" w:rsidRDefault="00141134" w:rsidP="0025752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По </w:t>
      </w:r>
      <w:r w:rsidR="00031869">
        <w:rPr>
          <w:color w:val="000000"/>
        </w:rPr>
        <w:t>трем</w:t>
      </w:r>
      <w:r w:rsidR="00C67FB5">
        <w:rPr>
          <w:color w:val="000000"/>
        </w:rPr>
        <w:t xml:space="preserve"> </w:t>
      </w:r>
      <w:r w:rsidR="000E1953">
        <w:rPr>
          <w:color w:val="000000"/>
        </w:rPr>
        <w:t>подпрограмм</w:t>
      </w:r>
      <w:r w:rsidR="00C67FB5">
        <w:rPr>
          <w:color w:val="000000"/>
        </w:rPr>
        <w:t>ам</w:t>
      </w:r>
      <w:r w:rsidR="000E1953">
        <w:rPr>
          <w:color w:val="000000"/>
        </w:rPr>
        <w:t xml:space="preserve"> оценка эффективности не проводилась, так как </w:t>
      </w:r>
      <w:r w:rsidR="00C67FB5">
        <w:rPr>
          <w:color w:val="000000"/>
        </w:rPr>
        <w:t>на реализацию мероприятий данных подпрограмм финансирование</w:t>
      </w:r>
      <w:r w:rsidR="00031869">
        <w:rPr>
          <w:color w:val="000000"/>
        </w:rPr>
        <w:t xml:space="preserve"> в </w:t>
      </w:r>
      <w:r w:rsidR="009842E5">
        <w:rPr>
          <w:color w:val="000000"/>
        </w:rPr>
        <w:t>отчетном периоде</w:t>
      </w:r>
      <w:r w:rsidR="00C67FB5">
        <w:rPr>
          <w:color w:val="000000"/>
        </w:rPr>
        <w:t xml:space="preserve"> не предусмотрено.</w:t>
      </w:r>
    </w:p>
    <w:p w:rsidR="00C67FB5" w:rsidRDefault="00C67FB5" w:rsidP="00A5619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На оценку эффективности реализации </w:t>
      </w:r>
      <w:r w:rsidR="00EF4A03">
        <w:rPr>
          <w:color w:val="000000"/>
        </w:rPr>
        <w:t>отдельных</w:t>
      </w:r>
      <w:r>
        <w:rPr>
          <w:color w:val="000000"/>
        </w:rPr>
        <w:t xml:space="preserve"> муниципальных </w:t>
      </w:r>
      <w:r w:rsidRPr="002D636D">
        <w:t>Программ</w:t>
      </w:r>
      <w:r w:rsidR="009B1CEC">
        <w:t xml:space="preserve"> и подпрограмм</w:t>
      </w:r>
      <w:r w:rsidR="009842E5">
        <w:t xml:space="preserve"> существенным образом</w:t>
      </w:r>
      <w:r>
        <w:rPr>
          <w:color w:val="000000"/>
        </w:rPr>
        <w:t xml:space="preserve"> повлиял</w:t>
      </w:r>
      <w:r w:rsidR="002D636D">
        <w:rPr>
          <w:color w:val="000000"/>
        </w:rPr>
        <w:t>а</w:t>
      </w:r>
      <w:r>
        <w:rPr>
          <w:color w:val="000000"/>
        </w:rPr>
        <w:t xml:space="preserve"> несвоевременная корре</w:t>
      </w:r>
      <w:r w:rsidR="002D636D">
        <w:rPr>
          <w:color w:val="000000"/>
        </w:rPr>
        <w:t>ктировка (отсутствие корректировки) программных</w:t>
      </w:r>
      <w:r w:rsidR="009B1CEC">
        <w:rPr>
          <w:color w:val="000000"/>
        </w:rPr>
        <w:t xml:space="preserve"> и подпрограммных</w:t>
      </w:r>
      <w:r w:rsidR="002D636D">
        <w:rPr>
          <w:color w:val="000000"/>
        </w:rPr>
        <w:t xml:space="preserve"> мероприятий </w:t>
      </w:r>
      <w:r w:rsidR="00EF4A03">
        <w:rPr>
          <w:color w:val="000000"/>
        </w:rPr>
        <w:t xml:space="preserve">их </w:t>
      </w:r>
      <w:r w:rsidR="002D636D">
        <w:rPr>
          <w:color w:val="000000"/>
        </w:rPr>
        <w:t>администраторами</w:t>
      </w:r>
      <w:r w:rsidR="009842E5">
        <w:rPr>
          <w:color w:val="000000"/>
        </w:rPr>
        <w:t>, что подтверждает вывод о низкой исполнительной дисциплине</w:t>
      </w:r>
      <w:r w:rsidR="00EF4A03">
        <w:rPr>
          <w:color w:val="000000"/>
        </w:rPr>
        <w:t>.</w:t>
      </w:r>
    </w:p>
    <w:p w:rsidR="00BC0468" w:rsidRDefault="00BC0468" w:rsidP="00BC0468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Можно отметить следующие муниципальные Программы, ряд плановых значений показателей имеют характер завышения</w:t>
      </w:r>
      <w:r w:rsidR="008417C8">
        <w:rPr>
          <w:color w:val="000000"/>
          <w:shd w:val="clear" w:color="auto" w:fill="FFFFFF"/>
        </w:rPr>
        <w:t xml:space="preserve"> по количественным показателям</w:t>
      </w:r>
      <w:r>
        <w:rPr>
          <w:color w:val="000000"/>
          <w:shd w:val="clear" w:color="auto" w:fill="FFFFFF"/>
        </w:rPr>
        <w:t xml:space="preserve">: </w:t>
      </w:r>
    </w:p>
    <w:p w:rsidR="00C27FEF" w:rsidRDefault="00C27FEF" w:rsidP="00BC0468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Развитие образования городского округа Кинешма;</w:t>
      </w:r>
    </w:p>
    <w:p w:rsidR="00C27FEF" w:rsidRDefault="00C27FEF" w:rsidP="00BC0468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Поддержка и развитие малого предпринимательства в городском округе Кинешма; </w:t>
      </w:r>
    </w:p>
    <w:p w:rsidR="00C27FEF" w:rsidRDefault="00C27FEF" w:rsidP="003A0F3F">
      <w:pPr>
        <w:shd w:val="clear" w:color="auto" w:fill="FFFFFF"/>
        <w:ind w:firstLine="709"/>
        <w:jc w:val="both"/>
      </w:pPr>
      <w:r>
        <w:rPr>
          <w:color w:val="000000"/>
          <w:shd w:val="clear" w:color="auto" w:fill="FFFFFF"/>
        </w:rPr>
        <w:t xml:space="preserve">- </w:t>
      </w:r>
      <w:r>
        <w:t xml:space="preserve">Обеспечение качественным жильем, услугами </w:t>
      </w:r>
      <w:proofErr w:type="spellStart"/>
      <w:r>
        <w:t>жилищно</w:t>
      </w:r>
      <w:proofErr w:type="spellEnd"/>
      <w:r>
        <w:t xml:space="preserve"> – коммунального хозяйства населения городского округа Кинешма;</w:t>
      </w:r>
    </w:p>
    <w:p w:rsidR="00BC0468" w:rsidRPr="003A0F3F" w:rsidRDefault="00C27FEF" w:rsidP="003A0F3F">
      <w:pPr>
        <w:shd w:val="clear" w:color="auto" w:fill="FFFFFF"/>
        <w:ind w:firstLine="709"/>
        <w:jc w:val="both"/>
      </w:pPr>
      <w:r>
        <w:t>-Формирование современной городской среды на территории муниципального образования «Городской округ Кинешма»</w:t>
      </w:r>
      <w:r w:rsidR="009842E5">
        <w:t>.</w:t>
      </w:r>
    </w:p>
    <w:p w:rsidR="00C4053E" w:rsidRPr="009B1CEC" w:rsidRDefault="003A0F3F" w:rsidP="00C4053E">
      <w:pPr>
        <w:shd w:val="clear" w:color="auto" w:fill="FFFFFF"/>
        <w:ind w:firstLine="709"/>
        <w:jc w:val="both"/>
      </w:pPr>
      <w:r>
        <w:t>С</w:t>
      </w:r>
      <w:r w:rsidR="00C4053E" w:rsidRPr="009B1CEC">
        <w:t>ледует отметить</w:t>
      </w:r>
      <w:r w:rsidR="009842E5">
        <w:t xml:space="preserve"> устойчивое</w:t>
      </w:r>
      <w:r w:rsidR="00806923">
        <w:t xml:space="preserve"> </w:t>
      </w:r>
      <w:r>
        <w:t>ухудшение</w:t>
      </w:r>
      <w:r w:rsidR="00C4053E" w:rsidRPr="009B1CEC">
        <w:t xml:space="preserve"> качеств</w:t>
      </w:r>
      <w:r w:rsidR="00806923">
        <w:t>а</w:t>
      </w:r>
      <w:r w:rsidR="00C4053E" w:rsidRPr="009B1CEC">
        <w:t xml:space="preserve"> планирования значений целевых показателей </w:t>
      </w:r>
      <w:r w:rsidR="00713584" w:rsidRPr="009B1CEC">
        <w:t>по сравнению с отчетным период</w:t>
      </w:r>
      <w:r>
        <w:t>ом 2023 года</w:t>
      </w:r>
      <w:r w:rsidR="00C4053E" w:rsidRPr="009B1CEC">
        <w:t>.</w:t>
      </w:r>
    </w:p>
    <w:p w:rsidR="00D815F7" w:rsidRDefault="003A0F3F" w:rsidP="003A0F3F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lastRenderedPageBreak/>
        <w:t xml:space="preserve">Некоторые </w:t>
      </w:r>
      <w:r w:rsidR="00D815F7" w:rsidRPr="009B1CEC">
        <w:t>муниципальны</w:t>
      </w:r>
      <w:r>
        <w:t>е</w:t>
      </w:r>
      <w:r w:rsidR="00D815F7" w:rsidRPr="009B1CEC">
        <w:t xml:space="preserve"> Программ</w:t>
      </w:r>
      <w:r>
        <w:t>ы</w:t>
      </w:r>
      <w:r w:rsidR="00806923">
        <w:t xml:space="preserve"> содерж</w:t>
      </w:r>
      <w:r w:rsidR="00162C77">
        <w:t>а</w:t>
      </w:r>
      <w:r w:rsidR="00806923">
        <w:t xml:space="preserve">т  </w:t>
      </w:r>
      <w:r>
        <w:t xml:space="preserve">существенное </w:t>
      </w:r>
      <w:r w:rsidR="00806923">
        <w:t xml:space="preserve">                                                                                                                      </w:t>
      </w:r>
      <w:r>
        <w:t xml:space="preserve">     </w:t>
      </w:r>
      <w:r w:rsidR="00806923">
        <w:t xml:space="preserve"> превышение</w:t>
      </w:r>
      <w:r w:rsidR="00D815F7" w:rsidRPr="009B1CEC">
        <w:t xml:space="preserve"> фактически </w:t>
      </w:r>
      <w:r w:rsidR="00D815F7" w:rsidRPr="00D815F7">
        <w:rPr>
          <w:color w:val="000000"/>
        </w:rPr>
        <w:t>достигнуты</w:t>
      </w:r>
      <w:r w:rsidR="00512D32">
        <w:rPr>
          <w:color w:val="000000"/>
        </w:rPr>
        <w:t>х</w:t>
      </w:r>
      <w:r w:rsidR="00D815F7" w:rsidRPr="00D815F7">
        <w:rPr>
          <w:color w:val="000000"/>
        </w:rPr>
        <w:t xml:space="preserve"> значени</w:t>
      </w:r>
      <w:r w:rsidR="00512D32">
        <w:rPr>
          <w:color w:val="000000"/>
        </w:rPr>
        <w:t>й</w:t>
      </w:r>
      <w:r w:rsidR="00D815F7" w:rsidRPr="00D815F7">
        <w:rPr>
          <w:color w:val="000000"/>
        </w:rPr>
        <w:t xml:space="preserve"> показателей</w:t>
      </w:r>
      <w:r w:rsidR="00D815F7">
        <w:rPr>
          <w:color w:val="000000"/>
        </w:rPr>
        <w:t xml:space="preserve"> </w:t>
      </w:r>
      <w:r w:rsidR="00806923">
        <w:rPr>
          <w:color w:val="000000"/>
        </w:rPr>
        <w:t xml:space="preserve">над </w:t>
      </w:r>
      <w:r w:rsidR="00D815F7" w:rsidRPr="00D815F7">
        <w:rPr>
          <w:color w:val="000000"/>
        </w:rPr>
        <w:t>плановы</w:t>
      </w:r>
      <w:r w:rsidR="00806923">
        <w:rPr>
          <w:color w:val="000000"/>
        </w:rPr>
        <w:t>м</w:t>
      </w:r>
      <w:r w:rsidR="00D815F7" w:rsidRPr="00D815F7">
        <w:rPr>
          <w:color w:val="000000"/>
        </w:rPr>
        <w:t xml:space="preserve"> уровн</w:t>
      </w:r>
      <w:r w:rsidR="00806923">
        <w:rPr>
          <w:color w:val="000000"/>
        </w:rPr>
        <w:t>ем</w:t>
      </w:r>
      <w:r w:rsidR="00D815F7" w:rsidRPr="00D815F7">
        <w:rPr>
          <w:color w:val="000000"/>
        </w:rPr>
        <w:t xml:space="preserve">, что </w:t>
      </w:r>
      <w:r w:rsidR="00806923">
        <w:rPr>
          <w:color w:val="000000"/>
        </w:rPr>
        <w:t>может</w:t>
      </w:r>
      <w:r w:rsidR="00947214">
        <w:rPr>
          <w:color w:val="000000"/>
        </w:rPr>
        <w:t xml:space="preserve"> указыва</w:t>
      </w:r>
      <w:r w:rsidR="00806923">
        <w:rPr>
          <w:color w:val="000000"/>
        </w:rPr>
        <w:t>ть</w:t>
      </w:r>
      <w:r w:rsidR="00947214">
        <w:rPr>
          <w:color w:val="000000"/>
        </w:rPr>
        <w:t xml:space="preserve"> на </w:t>
      </w:r>
      <w:r w:rsidR="00947214" w:rsidRPr="00947214">
        <w:rPr>
          <w:color w:val="000000"/>
          <w:shd w:val="clear" w:color="auto" w:fill="FFFFFF"/>
        </w:rPr>
        <w:t>занижение прогнозной оценки значений показателей</w:t>
      </w:r>
      <w:r w:rsidR="00162C77">
        <w:rPr>
          <w:color w:val="000000"/>
          <w:shd w:val="clear" w:color="auto" w:fill="FFFFFF"/>
        </w:rPr>
        <w:t>.</w:t>
      </w:r>
      <w:r w:rsidR="00463975">
        <w:rPr>
          <w:color w:val="000000"/>
          <w:shd w:val="clear" w:color="auto" w:fill="FFFFFF"/>
        </w:rPr>
        <w:t xml:space="preserve"> </w:t>
      </w:r>
      <w:r w:rsidR="00162C77">
        <w:rPr>
          <w:color w:val="000000"/>
          <w:shd w:val="clear" w:color="auto" w:fill="FFFFFF"/>
        </w:rPr>
        <w:t>Данное обстоятельство</w:t>
      </w:r>
      <w:r w:rsidR="00463975">
        <w:rPr>
          <w:color w:val="000000"/>
          <w:shd w:val="clear" w:color="auto" w:fill="FFFFFF"/>
        </w:rPr>
        <w:t xml:space="preserve"> не позволяет обеспечить эффективное планирование целевых индикаторов (показателей) Программы и подпрограмм</w:t>
      </w:r>
      <w:r w:rsidR="008F57D5">
        <w:rPr>
          <w:color w:val="000000"/>
          <w:shd w:val="clear" w:color="auto" w:fill="FFFFFF"/>
        </w:rPr>
        <w:t>,</w:t>
      </w:r>
      <w:r w:rsidR="00590E92">
        <w:rPr>
          <w:color w:val="000000"/>
          <w:shd w:val="clear" w:color="auto" w:fill="FFFFFF"/>
        </w:rPr>
        <w:t xml:space="preserve"> и может негативным образом сказаться на процессе бюджетного планирования</w:t>
      </w:r>
      <w:r w:rsidR="00947214" w:rsidRPr="00947214">
        <w:rPr>
          <w:color w:val="000000"/>
          <w:shd w:val="clear" w:color="auto" w:fill="FFFFFF"/>
        </w:rPr>
        <w:t>.</w:t>
      </w:r>
    </w:p>
    <w:p w:rsidR="00FC4947" w:rsidRDefault="00FC4947" w:rsidP="003A0F3F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Можно отметить следующие муниципальные </w:t>
      </w:r>
      <w:r w:rsidR="009D1EC8"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>рограммы, ряд плановых значений показателей имеют характер занижения</w:t>
      </w:r>
      <w:r w:rsidR="00550FC1">
        <w:rPr>
          <w:color w:val="000000"/>
          <w:shd w:val="clear" w:color="auto" w:fill="FFFFFF"/>
        </w:rPr>
        <w:t>:</w:t>
      </w:r>
    </w:p>
    <w:p w:rsidR="00424066" w:rsidRDefault="00424066" w:rsidP="00424066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42406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Развитие образования городского округа Кинешма;</w:t>
      </w:r>
    </w:p>
    <w:p w:rsidR="00424066" w:rsidRDefault="00424066" w:rsidP="00D815F7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Культура городского округа Кинешма;</w:t>
      </w:r>
    </w:p>
    <w:p w:rsidR="00424066" w:rsidRDefault="00424066" w:rsidP="00D815F7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-Совершенствование местного самоуправления городского округа Кинешма;</w:t>
      </w:r>
    </w:p>
    <w:p w:rsidR="00424066" w:rsidRDefault="00424066" w:rsidP="00A71580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A71580">
        <w:rPr>
          <w:color w:val="000000"/>
          <w:shd w:val="clear" w:color="auto" w:fill="FFFFFF"/>
        </w:rPr>
        <w:t>«Защита населения и территорий от чрезвычайных ситуаций, обеспечение пожарной безопасности и безопасности людей»;</w:t>
      </w:r>
    </w:p>
    <w:p w:rsidR="00A71580" w:rsidRDefault="00A71580" w:rsidP="00A71580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«Управление муниципальным имуществом в городском округе Кинешма»</w:t>
      </w:r>
    </w:p>
    <w:p w:rsidR="00AC47C3" w:rsidRDefault="00AC47C3" w:rsidP="00D815F7">
      <w:pPr>
        <w:shd w:val="clear" w:color="auto" w:fill="FFFFFF"/>
        <w:ind w:firstLine="709"/>
        <w:jc w:val="both"/>
      </w:pPr>
      <w:r>
        <w:t>Кроме того, качественное планирование показателей также должно предполагать отсутствие таких показателей</w:t>
      </w:r>
      <w:r w:rsidR="003A536A">
        <w:t xml:space="preserve">, которые не имеют динамики </w:t>
      </w:r>
      <w:r w:rsidR="00590E92">
        <w:t xml:space="preserve">(либо имеют нулевые значения) </w:t>
      </w:r>
      <w:r w:rsidR="003A536A">
        <w:t xml:space="preserve">изменения значений </w:t>
      </w:r>
      <w:r w:rsidR="00162C77">
        <w:t>длительное время.</w:t>
      </w:r>
    </w:p>
    <w:p w:rsidR="00D851FE" w:rsidRPr="00E148B1" w:rsidRDefault="00E148B1" w:rsidP="00724790">
      <w:pPr>
        <w:shd w:val="clear" w:color="auto" w:fill="FFFFFF"/>
        <w:ind w:firstLine="709"/>
        <w:jc w:val="both"/>
      </w:pPr>
      <w:r>
        <w:t>Т</w:t>
      </w:r>
      <w:r w:rsidR="00D851FE">
        <w:t>аки</w:t>
      </w:r>
      <w:r>
        <w:t xml:space="preserve">е показатели присутствуют в следующих муниципальных </w:t>
      </w:r>
      <w:r w:rsidR="00D851FE">
        <w:t xml:space="preserve"> Программа</w:t>
      </w:r>
      <w:r>
        <w:t>х:</w:t>
      </w:r>
      <w:r w:rsidRPr="00E148B1">
        <w:rPr>
          <w:b/>
        </w:rPr>
        <w:t xml:space="preserve"> </w:t>
      </w:r>
      <w:r w:rsidR="00724790">
        <w:rPr>
          <w:b/>
        </w:rPr>
        <w:t>«</w:t>
      </w:r>
      <w:r w:rsidR="00724790" w:rsidRPr="00D851FE">
        <w:t>Поддержка и развитие малого предпринимательства в городском округе Кинешма</w:t>
      </w:r>
      <w:r w:rsidR="00724790">
        <w:t>»,</w:t>
      </w:r>
      <w:r w:rsidRPr="00E148B1">
        <w:t xml:space="preserve"> </w:t>
      </w:r>
      <w:r>
        <w:t xml:space="preserve">«Обеспечение качественным жильем, услугами </w:t>
      </w:r>
      <w:proofErr w:type="spellStart"/>
      <w:r>
        <w:t>жилищно</w:t>
      </w:r>
      <w:proofErr w:type="spellEnd"/>
      <w:r>
        <w:t xml:space="preserve"> – коммунального хозяйства населения городского округа Кинешма»</w:t>
      </w:r>
      <w:r w:rsidR="00724790">
        <w:t>, «Управление муниципальным имуществом в городском округе Кинешма»</w:t>
      </w:r>
      <w:r>
        <w:t>.</w:t>
      </w:r>
    </w:p>
    <w:p w:rsidR="00394FD5" w:rsidRDefault="00394FD5" w:rsidP="008C47E2">
      <w:pPr>
        <w:shd w:val="clear" w:color="auto" w:fill="FFFFFF"/>
        <w:ind w:firstLine="709"/>
        <w:jc w:val="both"/>
        <w:rPr>
          <w:color w:val="000000"/>
        </w:rPr>
      </w:pPr>
      <w:r w:rsidRPr="00590D6D">
        <w:t xml:space="preserve">Следует отметить, что на момент подготовки </w:t>
      </w:r>
      <w:r w:rsidR="008B7592" w:rsidRPr="00590D6D">
        <w:t>годового отчета</w:t>
      </w:r>
      <w:r w:rsidRPr="00590D6D">
        <w:t xml:space="preserve"> о реализации муниципальных Программ </w:t>
      </w:r>
      <w:r>
        <w:rPr>
          <w:color w:val="000000"/>
        </w:rPr>
        <w:t xml:space="preserve">по ряду целевых показателей (индикаторов) </w:t>
      </w:r>
      <w:r w:rsidR="00440970">
        <w:rPr>
          <w:color w:val="000000"/>
        </w:rPr>
        <w:t xml:space="preserve">муниципальной Программы  «Развитие образования городского округа Кинешма» </w:t>
      </w:r>
      <w:r>
        <w:rPr>
          <w:color w:val="000000"/>
        </w:rPr>
        <w:t>представлены предварительные данные. Согласно данным администратор</w:t>
      </w:r>
      <w:r w:rsidR="00440970">
        <w:rPr>
          <w:color w:val="000000"/>
        </w:rPr>
        <w:t>а</w:t>
      </w:r>
      <w:r>
        <w:rPr>
          <w:color w:val="000000"/>
        </w:rPr>
        <w:t xml:space="preserve"> Программ</w:t>
      </w:r>
      <w:r w:rsidR="00440970">
        <w:rPr>
          <w:color w:val="000000"/>
        </w:rPr>
        <w:t>ы</w:t>
      </w:r>
      <w:r>
        <w:rPr>
          <w:color w:val="000000"/>
        </w:rPr>
        <w:t xml:space="preserve"> на дату сдачи отчета</w:t>
      </w:r>
      <w:r w:rsidR="00E673C5">
        <w:rPr>
          <w:color w:val="000000"/>
        </w:rPr>
        <w:t xml:space="preserve"> отсутствуют</w:t>
      </w:r>
      <w:r>
        <w:rPr>
          <w:color w:val="000000"/>
        </w:rPr>
        <w:t xml:space="preserve"> </w:t>
      </w:r>
      <w:r w:rsidR="00590E92">
        <w:rPr>
          <w:color w:val="000000"/>
        </w:rPr>
        <w:t>официальные статистические данные</w:t>
      </w:r>
      <w:r w:rsidR="00E673C5">
        <w:rPr>
          <w:color w:val="000000"/>
        </w:rPr>
        <w:t>, ввиду более поздних сроков опубликования данных Росстата</w:t>
      </w:r>
      <w:r w:rsidR="008B7592">
        <w:rPr>
          <w:color w:val="000000"/>
        </w:rPr>
        <w:t>.</w:t>
      </w:r>
    </w:p>
    <w:p w:rsidR="008C47E2" w:rsidRPr="00D815F7" w:rsidRDefault="008C47E2" w:rsidP="008C47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8C47E2">
        <w:rPr>
          <w:color w:val="000000"/>
        </w:rPr>
        <w:t>ри расчете степени достижения</w:t>
      </w:r>
      <w:r>
        <w:rPr>
          <w:color w:val="000000"/>
        </w:rPr>
        <w:t xml:space="preserve"> </w:t>
      </w:r>
      <w:r w:rsidRPr="008C47E2">
        <w:rPr>
          <w:color w:val="000000"/>
        </w:rPr>
        <w:t>запланированных значений целевых индикаторов (показателей) в случае</w:t>
      </w:r>
      <w:r>
        <w:rPr>
          <w:color w:val="000000"/>
        </w:rPr>
        <w:t xml:space="preserve"> </w:t>
      </w:r>
      <w:r w:rsidRPr="008C47E2">
        <w:rPr>
          <w:color w:val="000000"/>
        </w:rPr>
        <w:t xml:space="preserve">превышения фактического значения над </w:t>
      </w:r>
      <w:proofErr w:type="gramStart"/>
      <w:r w:rsidRPr="008C47E2">
        <w:rPr>
          <w:color w:val="000000"/>
        </w:rPr>
        <w:t>плановым</w:t>
      </w:r>
      <w:proofErr w:type="gramEnd"/>
      <w:r w:rsidRPr="008C47E2">
        <w:rPr>
          <w:color w:val="000000"/>
        </w:rPr>
        <w:t>, степень достижения</w:t>
      </w:r>
      <w:r>
        <w:rPr>
          <w:color w:val="000000"/>
        </w:rPr>
        <w:t xml:space="preserve"> </w:t>
      </w:r>
      <w:r w:rsidRPr="008C47E2">
        <w:rPr>
          <w:color w:val="000000"/>
        </w:rPr>
        <w:t>значения целевого показателя принималась равной 100%.</w:t>
      </w:r>
    </w:p>
    <w:p w:rsidR="004A56AA" w:rsidRPr="004A56AA" w:rsidRDefault="004A56AA" w:rsidP="004A56AA">
      <w:pPr>
        <w:pStyle w:val="a3"/>
        <w:ind w:left="0" w:firstLine="709"/>
        <w:jc w:val="both"/>
      </w:pPr>
      <w:r w:rsidRPr="004A56AA">
        <w:t>При расчете степени достижения планируемых значений  целевых показателей (индикаторов) Программы (подпрограмм) равные  нулю по плану и по факту принимаются за  единицу.</w:t>
      </w:r>
    </w:p>
    <w:p w:rsidR="00E9443C" w:rsidRDefault="00E102FC" w:rsidP="009415A6">
      <w:pPr>
        <w:shd w:val="clear" w:color="auto" w:fill="FFFFFF"/>
        <w:ind w:firstLine="709"/>
        <w:jc w:val="both"/>
        <w:rPr>
          <w:color w:val="000000"/>
        </w:rPr>
      </w:pPr>
      <w:r w:rsidRPr="00E102FC">
        <w:rPr>
          <w:color w:val="000000"/>
        </w:rPr>
        <w:t xml:space="preserve">По итогам оценки эффективности реализации </w:t>
      </w:r>
      <w:r>
        <w:rPr>
          <w:color w:val="000000"/>
        </w:rPr>
        <w:t>муниципальных П</w:t>
      </w:r>
      <w:r w:rsidRPr="00E102FC">
        <w:rPr>
          <w:color w:val="000000"/>
        </w:rPr>
        <w:t>рограмм в 20</w:t>
      </w:r>
      <w:r>
        <w:rPr>
          <w:color w:val="000000"/>
        </w:rPr>
        <w:t>2</w:t>
      </w:r>
      <w:r w:rsidR="00484E44">
        <w:rPr>
          <w:color w:val="000000"/>
        </w:rPr>
        <w:t>4</w:t>
      </w:r>
      <w:r w:rsidRPr="00E102FC">
        <w:rPr>
          <w:color w:val="000000"/>
        </w:rPr>
        <w:t xml:space="preserve"> году можно отметить, что взаимосвязь целей</w:t>
      </w:r>
      <w:r>
        <w:rPr>
          <w:color w:val="000000"/>
        </w:rPr>
        <w:t xml:space="preserve"> П</w:t>
      </w:r>
      <w:r w:rsidRPr="00E102FC">
        <w:rPr>
          <w:color w:val="000000"/>
        </w:rPr>
        <w:t>рограмм и задач подпрограмм в основном достигнута.</w:t>
      </w:r>
    </w:p>
    <w:p w:rsidR="009C7B9B" w:rsidRDefault="009C7B9B" w:rsidP="009415A6">
      <w:pPr>
        <w:shd w:val="clear" w:color="auto" w:fill="FFFFFF"/>
        <w:ind w:firstLine="709"/>
        <w:jc w:val="both"/>
        <w:rPr>
          <w:color w:val="000000"/>
        </w:rPr>
      </w:pPr>
    </w:p>
    <w:tbl>
      <w:tblPr>
        <w:tblStyle w:val="a4"/>
        <w:tblW w:w="10284" w:type="dxa"/>
        <w:jc w:val="center"/>
        <w:tblInd w:w="-448" w:type="dxa"/>
        <w:tblLayout w:type="fixed"/>
        <w:tblLook w:val="01E0" w:firstRow="1" w:lastRow="1" w:firstColumn="1" w:lastColumn="1" w:noHBand="0" w:noVBand="0"/>
      </w:tblPr>
      <w:tblGrid>
        <w:gridCol w:w="710"/>
        <w:gridCol w:w="3544"/>
        <w:gridCol w:w="2693"/>
        <w:gridCol w:w="3337"/>
      </w:tblGrid>
      <w:tr w:rsidR="009415A6" w:rsidTr="00CA46B2">
        <w:trPr>
          <w:tblHeader/>
          <w:jc w:val="center"/>
        </w:trPr>
        <w:tc>
          <w:tcPr>
            <w:tcW w:w="710" w:type="dxa"/>
          </w:tcPr>
          <w:p w:rsidR="009415A6" w:rsidRDefault="009415A6" w:rsidP="009D66C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lastRenderedPageBreak/>
              <w:t>№</w:t>
            </w:r>
          </w:p>
          <w:p w:rsidR="009415A6" w:rsidRPr="00EE5845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1134EB">
              <w:rPr>
                <w:b/>
                <w:sz w:val="24"/>
                <w:szCs w:val="24"/>
              </w:rPr>
              <w:t>п</w:t>
            </w:r>
            <w:proofErr w:type="gramEnd"/>
            <w:r w:rsidRPr="001134E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9415A6" w:rsidRPr="00EE5845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>Программа/ Подпрограмма</w:t>
            </w:r>
          </w:p>
        </w:tc>
        <w:tc>
          <w:tcPr>
            <w:tcW w:w="2693" w:type="dxa"/>
          </w:tcPr>
          <w:p w:rsidR="009415A6" w:rsidRDefault="009415A6" w:rsidP="009D66C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>Оценка</w:t>
            </w:r>
          </w:p>
          <w:p w:rsidR="009415A6" w:rsidRDefault="009415A6" w:rsidP="009D66C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 эффек</w:t>
            </w:r>
            <w:r w:rsidRPr="00EE5845">
              <w:rPr>
                <w:b/>
                <w:sz w:val="24"/>
                <w:szCs w:val="24"/>
              </w:rPr>
              <w:softHyphen/>
              <w:t xml:space="preserve">тивности реализации </w:t>
            </w:r>
          </w:p>
          <w:p w:rsidR="009415A6" w:rsidRDefault="009415A6" w:rsidP="009D66C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в </w:t>
            </w:r>
            <w:r>
              <w:rPr>
                <w:b/>
                <w:sz w:val="24"/>
                <w:szCs w:val="24"/>
              </w:rPr>
              <w:t xml:space="preserve">2024 </w:t>
            </w:r>
            <w:r w:rsidRPr="00EE5845">
              <w:rPr>
                <w:b/>
                <w:sz w:val="24"/>
                <w:szCs w:val="24"/>
              </w:rPr>
              <w:t>году</w:t>
            </w:r>
          </w:p>
          <w:p w:rsidR="009415A6" w:rsidRPr="00EE5845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(баллы)</w:t>
            </w:r>
          </w:p>
        </w:tc>
        <w:tc>
          <w:tcPr>
            <w:tcW w:w="3337" w:type="dxa"/>
          </w:tcPr>
          <w:p w:rsidR="009415A6" w:rsidRPr="00EE5845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Предложения о целесообразности продолжения, необходимости  прекращения реализации или об изменении начиная с очередного финансового года ранее утвержденных Программ, в </w:t>
            </w:r>
            <w:proofErr w:type="spellStart"/>
            <w:r w:rsidRPr="00EE5845">
              <w:rPr>
                <w:b/>
                <w:sz w:val="24"/>
                <w:szCs w:val="24"/>
              </w:rPr>
              <w:t>т.ч</w:t>
            </w:r>
            <w:proofErr w:type="spellEnd"/>
            <w:r w:rsidRPr="00EE5845">
              <w:rPr>
                <w:b/>
                <w:sz w:val="24"/>
                <w:szCs w:val="24"/>
              </w:rPr>
              <w:t>. необходимости изменения объема бюджетных ассигнований на финансовое обеспечение реализации Программ</w:t>
            </w:r>
          </w:p>
        </w:tc>
      </w:tr>
      <w:tr w:rsidR="009415A6" w:rsidRPr="000F07F1" w:rsidTr="00CA46B2">
        <w:trPr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>Развитие образования городского округа Кинешма</w:t>
            </w:r>
          </w:p>
          <w:p w:rsidR="009415A6" w:rsidRPr="009F1223" w:rsidRDefault="009415A6" w:rsidP="009D66CD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0"/>
                <w:szCs w:val="20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>
              <w:rPr>
                <w:sz w:val="24"/>
                <w:szCs w:val="24"/>
              </w:rPr>
              <w:t>5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9415A6" w:rsidRPr="000F07F1" w:rsidTr="00CA46B2">
        <w:trPr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pStyle w:val="a5"/>
              <w:spacing w:before="40" w:beforeAutospacing="0" w:after="40" w:line="216" w:lineRule="auto"/>
            </w:pPr>
            <w:r w:rsidRPr="009F1223">
              <w:t>«Дошкольное образование детей в муниципальных организациях городского округа Кинешма»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0F07F1" w:rsidTr="00CA46B2">
        <w:trPr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pStyle w:val="a5"/>
              <w:spacing w:before="40" w:beforeAutospacing="0" w:after="40" w:line="216" w:lineRule="auto"/>
            </w:pPr>
            <w:r w:rsidRPr="009F1223">
              <w:t>«Общее образование в муниципальных организациях городского округа Кинешма»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0,99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0F07F1" w:rsidTr="00CA46B2">
        <w:trPr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pStyle w:val="a5"/>
              <w:spacing w:before="40" w:beforeAutospacing="0" w:after="40" w:line="216" w:lineRule="auto"/>
            </w:pPr>
            <w:r w:rsidRPr="009F1223">
              <w:t>«Дополнительное образование в муниципальных организациях городского округа Кинешма»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9415A6" w:rsidRPr="000F07F1" w:rsidTr="00CA46B2">
        <w:trPr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pStyle w:val="a5"/>
              <w:spacing w:before="40" w:beforeAutospacing="0" w:after="40" w:line="216" w:lineRule="auto"/>
            </w:pPr>
            <w:r w:rsidRPr="009F1223">
              <w:t>«Обеспечение деятельности муниципальных организаций и отраслевых (функциональных) органов администрации городского округа Кинешма»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9415A6" w:rsidRPr="000F07F1" w:rsidTr="00CA46B2">
        <w:trPr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pStyle w:val="a5"/>
              <w:spacing w:before="40" w:beforeAutospacing="0" w:after="40" w:line="216" w:lineRule="auto"/>
            </w:pPr>
            <w:r w:rsidRPr="009F1223">
              <w:t>«Поддержка развития образовательных организаций городского округа Кинешма»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91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9415A6" w:rsidRPr="003E7C9E" w:rsidTr="00CA46B2">
        <w:trPr>
          <w:trHeight w:val="781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>Управление муниципальными финансами  и муниципальным долгом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1,25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>
              <w:rPr>
                <w:sz w:val="24"/>
                <w:szCs w:val="24"/>
              </w:rPr>
              <w:t>5</w:t>
            </w:r>
            <w:r w:rsidRPr="009F1223">
              <w:rPr>
                <w:sz w:val="24"/>
                <w:szCs w:val="24"/>
              </w:rPr>
              <w:t>году</w:t>
            </w:r>
          </w:p>
        </w:tc>
      </w:tr>
      <w:tr w:rsidR="009415A6" w:rsidRPr="003E7C9E" w:rsidTr="00CA46B2">
        <w:trPr>
          <w:trHeight w:val="1126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Обеспечение деятельности муниципальных организаций и отраслевых (функциональных) органов администрации городского округа Кинешма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1,25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9415A6" w:rsidRPr="003E7C9E" w:rsidTr="00CA46B2">
        <w:trPr>
          <w:trHeight w:val="552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1,25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0F07F1" w:rsidTr="00CA46B2">
        <w:trPr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>Культура городского округа Кинешма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0,99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>
              <w:rPr>
                <w:sz w:val="24"/>
                <w:szCs w:val="24"/>
              </w:rPr>
              <w:t>5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9415A6" w:rsidRPr="000F07F1" w:rsidTr="00CA46B2">
        <w:trPr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Наследие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0,99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0F07F1" w:rsidTr="00CA46B2">
        <w:trPr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Культурно – досуговая деятельность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0F07F1" w:rsidTr="00CA46B2">
        <w:trPr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3.3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Обеспечение деятельности отраслевых (функциональных) органов администрации городского округа Кинешма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1,25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182F6F" w:rsidTr="00CA46B2">
        <w:trPr>
          <w:trHeight w:val="1401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25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>
              <w:rPr>
                <w:sz w:val="24"/>
                <w:szCs w:val="24"/>
              </w:rPr>
              <w:t>5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9415A6" w:rsidRPr="00182F6F" w:rsidTr="00CA46B2">
        <w:trPr>
          <w:trHeight w:val="1120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4.1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pStyle w:val="a5"/>
              <w:spacing w:before="0" w:after="0" w:line="216" w:lineRule="auto"/>
              <w:rPr>
                <w:b/>
              </w:rPr>
            </w:pPr>
            <w:r w:rsidRPr="009F1223">
              <w:t>Предупреждение и ликвидация последствий чрезвычайных ситуаций в границах городского округа Кинешма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182F6F" w:rsidTr="00CA46B2">
        <w:trPr>
          <w:trHeight w:val="1380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4.2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pStyle w:val="a5"/>
              <w:spacing w:before="0" w:after="0" w:line="216" w:lineRule="auto"/>
            </w:pPr>
            <w:r w:rsidRPr="009F1223">
              <w:t xml:space="preserve">Введение и развитие </w:t>
            </w:r>
            <w:proofErr w:type="spellStart"/>
            <w:r w:rsidRPr="009F1223">
              <w:t>аппаратно</w:t>
            </w:r>
            <w:proofErr w:type="spellEnd"/>
            <w:r w:rsidRPr="009F1223">
              <w:t xml:space="preserve"> – программного комплекса «Безопасный город» на территории городского округа Кинешма»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1,25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9415A6" w:rsidRPr="00A84A9E" w:rsidTr="00CA46B2">
        <w:trPr>
          <w:trHeight w:val="905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>Управление муниципальным имуществом в городском округе Кинешма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0,9</w:t>
            </w:r>
            <w:r>
              <w:rPr>
                <w:sz w:val="24"/>
                <w:szCs w:val="24"/>
              </w:rPr>
              <w:t>9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>
              <w:rPr>
                <w:sz w:val="24"/>
                <w:szCs w:val="24"/>
              </w:rPr>
              <w:t>5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9415A6" w:rsidRPr="00A84A9E" w:rsidTr="00CA46B2">
        <w:trPr>
          <w:trHeight w:val="833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5.1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pStyle w:val="a5"/>
              <w:spacing w:before="0" w:beforeAutospacing="0" w:after="0" w:line="216" w:lineRule="auto"/>
            </w:pPr>
            <w:r w:rsidRPr="009F1223">
              <w:t>«Обеспечение деятельности КИЗО администрации городского округа Кинешма»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>5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9415A6" w:rsidRPr="00A84A9E" w:rsidTr="00CA46B2">
        <w:trPr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5.2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b/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«Обеспечение приватизации и содержание имущества муниципальной казны»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высоко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9415A6" w:rsidRPr="00A84A9E" w:rsidTr="00CA46B2">
        <w:trPr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5.3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pStyle w:val="a5"/>
              <w:spacing w:before="0" w:after="0" w:line="216" w:lineRule="auto"/>
            </w:pPr>
            <w:r w:rsidRPr="009F1223">
              <w:t>«Совершенствование распоряжения муниципальным имуществом городского округа Кинешма по оказанию имущественной поддержки субъектам малого и среднего предпринимательства»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-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2"/>
                <w:szCs w:val="22"/>
              </w:rPr>
            </w:pPr>
            <w:r w:rsidRPr="009F1223">
              <w:rPr>
                <w:sz w:val="22"/>
                <w:szCs w:val="22"/>
              </w:rPr>
              <w:t>подпрограмма в 202</w:t>
            </w:r>
            <w:r>
              <w:rPr>
                <w:sz w:val="22"/>
                <w:szCs w:val="22"/>
              </w:rPr>
              <w:t>4</w:t>
            </w:r>
            <w:r w:rsidRPr="009F1223">
              <w:rPr>
                <w:sz w:val="22"/>
                <w:szCs w:val="22"/>
              </w:rPr>
              <w:t>году не финансировалась</w:t>
            </w:r>
          </w:p>
        </w:tc>
      </w:tr>
      <w:tr w:rsidR="009415A6" w:rsidRPr="00457D0D" w:rsidTr="00CA46B2">
        <w:trPr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pStyle w:val="a5"/>
              <w:spacing w:before="0" w:after="0" w:line="216" w:lineRule="auto"/>
              <w:rPr>
                <w:b/>
              </w:rPr>
            </w:pPr>
            <w:r w:rsidRPr="009F1223">
              <w:rPr>
                <w:b/>
              </w:rPr>
              <w:t>Поддержка и развитие малого предпринимательства в городском округе Кинешма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7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(низкоэффективная)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>
              <w:rPr>
                <w:sz w:val="24"/>
                <w:szCs w:val="24"/>
              </w:rPr>
              <w:t>5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9415A6" w:rsidRPr="002F5693" w:rsidTr="00CA46B2">
        <w:trPr>
          <w:trHeight w:val="663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>Совершенствование местного самоуправления городского округа Кинешма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0,99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>
              <w:rPr>
                <w:sz w:val="24"/>
                <w:szCs w:val="24"/>
              </w:rPr>
              <w:t>5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9415A6" w:rsidRPr="002F5693" w:rsidTr="00CA46B2">
        <w:trPr>
          <w:trHeight w:val="663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7.1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pStyle w:val="a5"/>
              <w:spacing w:before="0" w:beforeAutospacing="0" w:after="0" w:line="216" w:lineRule="auto"/>
            </w:pPr>
            <w:r w:rsidRPr="009F1223">
              <w:t>Обеспечение органов местного самоуправления городского округа Кинешма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0,99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9415A6" w:rsidRPr="003C4FA0" w:rsidTr="00CA46B2">
        <w:trPr>
          <w:trHeight w:val="663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7.2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pStyle w:val="a5"/>
              <w:spacing w:before="0" w:beforeAutospacing="0" w:after="0" w:line="216" w:lineRule="auto"/>
            </w:pPr>
            <w:r w:rsidRPr="009F1223">
              <w:t>Развитие институтов гражданского общества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1,25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9415A6" w:rsidRPr="005F0F08" w:rsidTr="00CA46B2">
        <w:trPr>
          <w:trHeight w:val="905"/>
          <w:jc w:val="center"/>
        </w:trPr>
        <w:tc>
          <w:tcPr>
            <w:tcW w:w="710" w:type="dxa"/>
          </w:tcPr>
          <w:p w:rsidR="009415A6" w:rsidRPr="00B931AB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931A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9415A6" w:rsidRPr="00B931AB" w:rsidRDefault="009415A6" w:rsidP="009D66CD">
            <w:pPr>
              <w:spacing w:line="216" w:lineRule="auto"/>
              <w:rPr>
                <w:b/>
                <w:sz w:val="24"/>
                <w:szCs w:val="24"/>
              </w:rPr>
            </w:pPr>
            <w:r w:rsidRPr="00B931AB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2693" w:type="dxa"/>
          </w:tcPr>
          <w:p w:rsidR="009415A6" w:rsidRPr="00B931AB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931AB">
              <w:rPr>
                <w:sz w:val="24"/>
                <w:szCs w:val="24"/>
              </w:rPr>
              <w:t>0,37</w:t>
            </w:r>
          </w:p>
          <w:p w:rsidR="009415A6" w:rsidRPr="006A28EE" w:rsidRDefault="009415A6" w:rsidP="009D66CD">
            <w:pPr>
              <w:spacing w:line="216" w:lineRule="auto"/>
              <w:jc w:val="center"/>
              <w:rPr>
                <w:color w:val="FF0000"/>
                <w:sz w:val="24"/>
                <w:szCs w:val="24"/>
              </w:rPr>
            </w:pPr>
            <w:r w:rsidRPr="00B931AB">
              <w:rPr>
                <w:sz w:val="24"/>
                <w:szCs w:val="24"/>
              </w:rPr>
              <w:t>(</w:t>
            </w:r>
            <w:r w:rsidR="00DC1F99">
              <w:rPr>
                <w:sz w:val="24"/>
                <w:szCs w:val="24"/>
              </w:rPr>
              <w:t>неэффективная</w:t>
            </w:r>
            <w:r w:rsidRPr="00B931AB">
              <w:rPr>
                <w:sz w:val="24"/>
                <w:szCs w:val="24"/>
              </w:rPr>
              <w:t>)</w:t>
            </w:r>
          </w:p>
        </w:tc>
        <w:tc>
          <w:tcPr>
            <w:tcW w:w="3337" w:type="dxa"/>
          </w:tcPr>
          <w:p w:rsidR="009415A6" w:rsidRPr="00B931AB" w:rsidRDefault="009415A6" w:rsidP="009D66CD">
            <w:pPr>
              <w:spacing w:line="21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</w:t>
            </w:r>
            <w:r w:rsidRPr="00B931AB">
              <w:rPr>
                <w:sz w:val="24"/>
                <w:szCs w:val="24"/>
              </w:rPr>
              <w:t xml:space="preserve"> </w:t>
            </w:r>
            <w:proofErr w:type="gramStart"/>
            <w:r w:rsidRPr="00B931AB">
              <w:rPr>
                <w:sz w:val="24"/>
                <w:szCs w:val="24"/>
              </w:rPr>
              <w:t>решения вопросов обеспечения экологической безопасности территории</w:t>
            </w:r>
            <w:proofErr w:type="gramEnd"/>
            <w:r w:rsidRPr="00B931AB">
              <w:rPr>
                <w:sz w:val="24"/>
                <w:szCs w:val="24"/>
              </w:rPr>
              <w:t xml:space="preserve"> городского округа  Кинешма</w:t>
            </w:r>
            <w:r w:rsidRPr="00B931AB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</w:t>
            </w:r>
            <w:r w:rsidRPr="00B931AB">
              <w:rPr>
                <w:sz w:val="24"/>
                <w:szCs w:val="24"/>
              </w:rPr>
              <w:t>елесообразно продолжить реализацию  Программы в 202</w:t>
            </w:r>
            <w:r>
              <w:rPr>
                <w:sz w:val="24"/>
                <w:szCs w:val="24"/>
              </w:rPr>
              <w:t>5</w:t>
            </w:r>
            <w:r w:rsidRPr="00B931AB">
              <w:rPr>
                <w:sz w:val="24"/>
                <w:szCs w:val="24"/>
              </w:rPr>
              <w:t xml:space="preserve"> году</w:t>
            </w:r>
          </w:p>
        </w:tc>
      </w:tr>
      <w:tr w:rsidR="009415A6" w:rsidRPr="00FD7CAE" w:rsidTr="00CA46B2">
        <w:trPr>
          <w:trHeight w:val="905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</w:pPr>
            <w:r w:rsidRPr="009F1223">
              <w:rPr>
                <w:b/>
                <w:sz w:val="24"/>
                <w:szCs w:val="24"/>
              </w:rPr>
              <w:t xml:space="preserve">Обеспечение качественным жильем, услугами </w:t>
            </w:r>
            <w:proofErr w:type="spellStart"/>
            <w:r w:rsidRPr="009F1223">
              <w:rPr>
                <w:b/>
                <w:sz w:val="24"/>
                <w:szCs w:val="24"/>
              </w:rPr>
              <w:t>жилищно</w:t>
            </w:r>
            <w:proofErr w:type="spellEnd"/>
            <w:r w:rsidRPr="009F1223">
              <w:rPr>
                <w:b/>
                <w:sz w:val="24"/>
                <w:szCs w:val="24"/>
              </w:rPr>
              <w:t xml:space="preserve"> – коммунального хозяйства населения городского округа Кинешма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76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F1223">
              <w:rPr>
                <w:sz w:val="24"/>
                <w:szCs w:val="24"/>
              </w:rPr>
              <w:t>(</w:t>
            </w:r>
            <w:r w:rsidR="00831B5B">
              <w:rPr>
                <w:sz w:val="24"/>
                <w:szCs w:val="24"/>
              </w:rPr>
              <w:t>низко</w:t>
            </w:r>
            <w:r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0"/>
                <w:szCs w:val="20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>
              <w:rPr>
                <w:sz w:val="24"/>
                <w:szCs w:val="24"/>
              </w:rPr>
              <w:t>5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9415A6" w:rsidRPr="00FD7CAE" w:rsidTr="00CA46B2">
        <w:trPr>
          <w:trHeight w:val="905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9.1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pStyle w:val="a5"/>
              <w:spacing w:before="0" w:after="0" w:line="216" w:lineRule="auto"/>
              <w:rPr>
                <w:b/>
              </w:rPr>
            </w:pPr>
            <w:r w:rsidRPr="009F1223">
              <w:t>Жилище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16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FD7CAE" w:rsidTr="00CA46B2">
        <w:trPr>
          <w:trHeight w:val="905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9.2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1,25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FD7CAE" w:rsidTr="00CA46B2">
        <w:trPr>
          <w:trHeight w:val="905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9.3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Развитие инженерных инфраструктур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71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низко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FD7CAE" w:rsidTr="00CA46B2">
        <w:trPr>
          <w:trHeight w:val="905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9.4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Обеспечение жильем молодых семей городского округа Кинешма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FD7CAE" w:rsidTr="00CA46B2">
        <w:trPr>
          <w:trHeight w:val="905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9.5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99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высоко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9415A6" w:rsidRPr="00C3048A" w:rsidTr="00CA46B2">
        <w:trPr>
          <w:trHeight w:val="773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>Формирование современной городской среды на территории муниципального образования «Городской округ Кинешма»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2"/>
                <w:szCs w:val="22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>
              <w:rPr>
                <w:sz w:val="24"/>
                <w:szCs w:val="24"/>
              </w:rPr>
              <w:t>5</w:t>
            </w:r>
            <w:r w:rsidRPr="009F1223">
              <w:rPr>
                <w:sz w:val="24"/>
                <w:szCs w:val="24"/>
              </w:rPr>
              <w:t xml:space="preserve"> году</w:t>
            </w:r>
            <w:r w:rsidRPr="009F1223">
              <w:rPr>
                <w:sz w:val="20"/>
                <w:szCs w:val="20"/>
              </w:rPr>
              <w:t xml:space="preserve"> </w:t>
            </w:r>
          </w:p>
        </w:tc>
      </w:tr>
      <w:tr w:rsidR="009415A6" w:rsidRPr="00C3048A" w:rsidTr="00CA46B2">
        <w:trPr>
          <w:trHeight w:val="773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10.1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Благоустройство общественных и дворовых территорий муниципального образования «Городской округ Кинешма»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9F122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высоко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6B67A9" w:rsidTr="00CA46B2">
        <w:trPr>
          <w:trHeight w:val="905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10.2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0"/>
                <w:szCs w:val="20"/>
              </w:rPr>
            </w:pPr>
            <w:r w:rsidRPr="009F1223">
              <w:rPr>
                <w:sz w:val="22"/>
                <w:szCs w:val="22"/>
              </w:rPr>
              <w:t>подпрограмма в 202</w:t>
            </w:r>
            <w:r>
              <w:rPr>
                <w:sz w:val="22"/>
                <w:szCs w:val="22"/>
              </w:rPr>
              <w:t xml:space="preserve">4 </w:t>
            </w:r>
            <w:r w:rsidRPr="009F1223">
              <w:rPr>
                <w:sz w:val="22"/>
                <w:szCs w:val="22"/>
              </w:rPr>
              <w:t>году не финансировалась</w:t>
            </w:r>
          </w:p>
        </w:tc>
      </w:tr>
      <w:tr w:rsidR="009415A6" w:rsidRPr="005E779C" w:rsidTr="00CA46B2">
        <w:trPr>
          <w:trHeight w:val="504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>Развитие транспортной системы в городском округе Кинешма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0,9</w:t>
            </w:r>
            <w:r>
              <w:rPr>
                <w:sz w:val="24"/>
                <w:szCs w:val="24"/>
              </w:rPr>
              <w:t>7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>
              <w:rPr>
                <w:sz w:val="24"/>
                <w:szCs w:val="24"/>
              </w:rPr>
              <w:t xml:space="preserve">5 </w:t>
            </w:r>
            <w:r w:rsidRPr="009F1223">
              <w:rPr>
                <w:sz w:val="24"/>
                <w:szCs w:val="24"/>
              </w:rPr>
              <w:t>году</w:t>
            </w:r>
          </w:p>
        </w:tc>
      </w:tr>
      <w:tr w:rsidR="009415A6" w:rsidRPr="005E779C" w:rsidTr="00CA46B2">
        <w:trPr>
          <w:trHeight w:val="1126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lastRenderedPageBreak/>
              <w:t>11.1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 xml:space="preserve">Ремонт автомобильных дорог общего пользования местного значения, внутриквартальных проездов и придомовых территорий городского округа Кинешма 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0,9</w:t>
            </w:r>
            <w:r>
              <w:rPr>
                <w:sz w:val="24"/>
                <w:szCs w:val="24"/>
              </w:rPr>
              <w:t>8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5E779C" w:rsidTr="00CA46B2">
        <w:trPr>
          <w:trHeight w:val="1660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11.2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 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9415A6" w:rsidRPr="001D5332" w:rsidTr="00CA46B2">
        <w:trPr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>Благоустройство городского округа Кинешма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95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>
              <w:rPr>
                <w:sz w:val="24"/>
                <w:szCs w:val="24"/>
              </w:rPr>
              <w:t>5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9415A6" w:rsidRPr="001D5332" w:rsidTr="00CA46B2">
        <w:trPr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12.1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pStyle w:val="a5"/>
              <w:spacing w:before="0" w:beforeAutospacing="0" w:after="0" w:line="216" w:lineRule="auto"/>
            </w:pPr>
            <w:r w:rsidRPr="009F1223">
              <w:t xml:space="preserve">«Благоустройство территории городского округа Кинешма» 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11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1D5332" w:rsidTr="00CA46B2">
        <w:trPr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12.2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pStyle w:val="a5"/>
              <w:spacing w:before="0" w:beforeAutospacing="0" w:after="0" w:line="216" w:lineRule="auto"/>
            </w:pPr>
            <w:r w:rsidRPr="009F1223">
              <w:t xml:space="preserve">«Текущее содержание инженерной защиты (дамбы, дренажные системы, </w:t>
            </w:r>
            <w:proofErr w:type="spellStart"/>
            <w:r w:rsidRPr="009F1223">
              <w:t>водоперекачивающие</w:t>
            </w:r>
            <w:proofErr w:type="spellEnd"/>
            <w:r w:rsidRPr="009F1223">
              <w:t xml:space="preserve"> станции)» 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1,25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4326D1" w:rsidTr="00CA46B2">
        <w:trPr>
          <w:trHeight w:val="905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pStyle w:val="a5"/>
              <w:spacing w:before="0" w:after="0" w:line="216" w:lineRule="auto"/>
              <w:rPr>
                <w:b/>
              </w:rPr>
            </w:pPr>
            <w:r w:rsidRPr="009F1223">
              <w:rPr>
                <w:b/>
              </w:rPr>
              <w:t>Профилактика терроризма, минимизация и (или) ликвидация последствий его проявлений в городском округе Кинешма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1,25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>
              <w:rPr>
                <w:sz w:val="24"/>
                <w:szCs w:val="24"/>
              </w:rPr>
              <w:t>5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9415A6" w:rsidRPr="009D0CBD" w:rsidTr="00CA46B2">
        <w:trPr>
          <w:trHeight w:val="905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 xml:space="preserve">Профилактика правонарушений в городском округе Кинешма 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>
              <w:rPr>
                <w:sz w:val="24"/>
                <w:szCs w:val="24"/>
              </w:rPr>
              <w:t>5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9415A6" w:rsidRPr="009D0CBD" w:rsidTr="00CA46B2">
        <w:trPr>
          <w:trHeight w:val="905"/>
          <w:jc w:val="center"/>
        </w:trPr>
        <w:tc>
          <w:tcPr>
            <w:tcW w:w="710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14.1</w:t>
            </w:r>
          </w:p>
        </w:tc>
        <w:tc>
          <w:tcPr>
            <w:tcW w:w="3544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Предупреждение правонарушений и обеспечение экологической безопасности»</w:t>
            </w:r>
          </w:p>
        </w:tc>
        <w:tc>
          <w:tcPr>
            <w:tcW w:w="2693" w:type="dxa"/>
          </w:tcPr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  <w:p w:rsidR="009415A6" w:rsidRPr="009F1223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9F1223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9D0CBD" w:rsidTr="00CA46B2">
        <w:trPr>
          <w:trHeight w:val="905"/>
          <w:jc w:val="center"/>
        </w:trPr>
        <w:tc>
          <w:tcPr>
            <w:tcW w:w="710" w:type="dxa"/>
          </w:tcPr>
          <w:p w:rsidR="009415A6" w:rsidRPr="00487217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14.2</w:t>
            </w:r>
          </w:p>
        </w:tc>
        <w:tc>
          <w:tcPr>
            <w:tcW w:w="3544" w:type="dxa"/>
          </w:tcPr>
          <w:p w:rsidR="009415A6" w:rsidRPr="00487217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693" w:type="dxa"/>
          </w:tcPr>
          <w:p w:rsidR="009415A6" w:rsidRPr="00487217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9415A6" w:rsidRPr="00487217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высоко</w:t>
            </w:r>
            <w:r w:rsidRPr="004872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9415A6" w:rsidRPr="00487217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6D240E" w:rsidTr="00CA46B2">
        <w:trPr>
          <w:trHeight w:val="785"/>
          <w:jc w:val="center"/>
        </w:trPr>
        <w:tc>
          <w:tcPr>
            <w:tcW w:w="710" w:type="dxa"/>
          </w:tcPr>
          <w:p w:rsidR="009415A6" w:rsidRPr="00487217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</w:p>
        </w:tc>
        <w:tc>
          <w:tcPr>
            <w:tcW w:w="3544" w:type="dxa"/>
          </w:tcPr>
          <w:p w:rsidR="009415A6" w:rsidRPr="00AB3BA8" w:rsidRDefault="009415A6" w:rsidP="009D66CD">
            <w:pPr>
              <w:spacing w:line="216" w:lineRule="auto"/>
              <w:rPr>
                <w:b/>
                <w:sz w:val="24"/>
                <w:szCs w:val="24"/>
              </w:rPr>
            </w:pPr>
            <w:r w:rsidRPr="00AB3BA8">
              <w:rPr>
                <w:color w:val="000000"/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</w:t>
            </w:r>
          </w:p>
        </w:tc>
        <w:tc>
          <w:tcPr>
            <w:tcW w:w="2693" w:type="dxa"/>
          </w:tcPr>
          <w:p w:rsidR="009415A6" w:rsidRPr="00487217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7" w:type="dxa"/>
          </w:tcPr>
          <w:p w:rsidR="009415A6" w:rsidRPr="00487217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582E32">
              <w:rPr>
                <w:sz w:val="22"/>
                <w:szCs w:val="22"/>
              </w:rPr>
              <w:t>подпрограмма в 202</w:t>
            </w:r>
            <w:r>
              <w:rPr>
                <w:sz w:val="22"/>
                <w:szCs w:val="22"/>
              </w:rPr>
              <w:t xml:space="preserve">4 </w:t>
            </w:r>
            <w:r w:rsidRPr="00582E32">
              <w:rPr>
                <w:sz w:val="22"/>
                <w:szCs w:val="22"/>
              </w:rPr>
              <w:t>году не финансировалась</w:t>
            </w:r>
          </w:p>
        </w:tc>
      </w:tr>
      <w:tr w:rsidR="009415A6" w:rsidRPr="006D240E" w:rsidTr="00CA46B2">
        <w:trPr>
          <w:trHeight w:val="785"/>
          <w:jc w:val="center"/>
        </w:trPr>
        <w:tc>
          <w:tcPr>
            <w:tcW w:w="710" w:type="dxa"/>
          </w:tcPr>
          <w:p w:rsidR="009415A6" w:rsidRPr="00487217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9415A6" w:rsidRPr="00487217" w:rsidRDefault="009415A6" w:rsidP="009D66CD">
            <w:pPr>
              <w:spacing w:line="216" w:lineRule="auto"/>
              <w:rPr>
                <w:b/>
                <w:sz w:val="24"/>
                <w:szCs w:val="24"/>
              </w:rPr>
            </w:pPr>
            <w:r w:rsidRPr="00487217">
              <w:rPr>
                <w:b/>
                <w:sz w:val="24"/>
                <w:szCs w:val="24"/>
              </w:rPr>
              <w:t>Развитие физической культуры и спорта в городском округе Кинешма</w:t>
            </w:r>
          </w:p>
        </w:tc>
        <w:tc>
          <w:tcPr>
            <w:tcW w:w="2693" w:type="dxa"/>
          </w:tcPr>
          <w:p w:rsidR="009415A6" w:rsidRPr="00487217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1,25</w:t>
            </w:r>
          </w:p>
          <w:p w:rsidR="009415A6" w:rsidRPr="00487217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487217" w:rsidRDefault="009415A6" w:rsidP="009D66CD">
            <w:pPr>
              <w:spacing w:line="216" w:lineRule="auto"/>
              <w:rPr>
                <w:sz w:val="20"/>
                <w:szCs w:val="20"/>
              </w:rPr>
            </w:pPr>
            <w:r w:rsidRPr="00487217">
              <w:rPr>
                <w:sz w:val="24"/>
                <w:szCs w:val="24"/>
              </w:rPr>
              <w:t>Целесообразно продолжить реализацию  Программы в 202</w:t>
            </w:r>
            <w:r>
              <w:rPr>
                <w:sz w:val="24"/>
                <w:szCs w:val="24"/>
              </w:rPr>
              <w:t>5</w:t>
            </w:r>
            <w:r w:rsidRPr="00487217">
              <w:rPr>
                <w:sz w:val="24"/>
                <w:szCs w:val="24"/>
              </w:rPr>
              <w:t xml:space="preserve"> году</w:t>
            </w:r>
          </w:p>
        </w:tc>
      </w:tr>
      <w:tr w:rsidR="009415A6" w:rsidRPr="006D240E" w:rsidTr="00CA46B2">
        <w:trPr>
          <w:trHeight w:val="807"/>
          <w:jc w:val="center"/>
        </w:trPr>
        <w:tc>
          <w:tcPr>
            <w:tcW w:w="710" w:type="dxa"/>
          </w:tcPr>
          <w:p w:rsidR="009415A6" w:rsidRPr="00487217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lastRenderedPageBreak/>
              <w:t>15.1</w:t>
            </w:r>
          </w:p>
        </w:tc>
        <w:tc>
          <w:tcPr>
            <w:tcW w:w="3544" w:type="dxa"/>
          </w:tcPr>
          <w:p w:rsidR="009415A6" w:rsidRPr="00487217" w:rsidRDefault="009415A6" w:rsidP="009D66CD">
            <w:pPr>
              <w:pStyle w:val="a5"/>
              <w:spacing w:before="0" w:after="0" w:line="216" w:lineRule="auto"/>
            </w:pPr>
            <w:r w:rsidRPr="00487217">
              <w:t>Развитие физической культуры и массового спорта</w:t>
            </w:r>
          </w:p>
        </w:tc>
        <w:tc>
          <w:tcPr>
            <w:tcW w:w="2693" w:type="dxa"/>
          </w:tcPr>
          <w:p w:rsidR="009415A6" w:rsidRPr="00487217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9415A6" w:rsidRPr="00487217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487217" w:rsidRDefault="009415A6" w:rsidP="009D66CD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9415A6" w:rsidRPr="006D240E" w:rsidTr="00CA46B2">
        <w:trPr>
          <w:trHeight w:val="636"/>
          <w:jc w:val="center"/>
        </w:trPr>
        <w:tc>
          <w:tcPr>
            <w:tcW w:w="710" w:type="dxa"/>
          </w:tcPr>
          <w:p w:rsidR="009415A6" w:rsidRPr="00487217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15.2</w:t>
            </w:r>
          </w:p>
        </w:tc>
        <w:tc>
          <w:tcPr>
            <w:tcW w:w="3544" w:type="dxa"/>
          </w:tcPr>
          <w:p w:rsidR="009415A6" w:rsidRPr="00487217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Развитие системы подготовки спортивного резерва</w:t>
            </w:r>
          </w:p>
        </w:tc>
        <w:tc>
          <w:tcPr>
            <w:tcW w:w="2693" w:type="dxa"/>
          </w:tcPr>
          <w:p w:rsidR="009415A6" w:rsidRPr="00487217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1,25</w:t>
            </w:r>
          </w:p>
          <w:p w:rsidR="009415A6" w:rsidRPr="00487217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487217" w:rsidRDefault="009415A6" w:rsidP="009D66CD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9415A6" w:rsidRPr="006D240E" w:rsidTr="00CA46B2">
        <w:trPr>
          <w:trHeight w:val="1120"/>
          <w:jc w:val="center"/>
        </w:trPr>
        <w:tc>
          <w:tcPr>
            <w:tcW w:w="710" w:type="dxa"/>
          </w:tcPr>
          <w:p w:rsidR="009415A6" w:rsidRPr="00582E32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15.3</w:t>
            </w:r>
          </w:p>
        </w:tc>
        <w:tc>
          <w:tcPr>
            <w:tcW w:w="3544" w:type="dxa"/>
          </w:tcPr>
          <w:p w:rsidR="009415A6" w:rsidRPr="00582E32" w:rsidRDefault="009415A6" w:rsidP="009D66CD">
            <w:pPr>
              <w:spacing w:line="216" w:lineRule="auto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Обеспечение деятельности отраслевых (функциональных) органов администрации городского округа Кинешма</w:t>
            </w:r>
          </w:p>
        </w:tc>
        <w:tc>
          <w:tcPr>
            <w:tcW w:w="2693" w:type="dxa"/>
          </w:tcPr>
          <w:p w:rsidR="009415A6" w:rsidRPr="00582E32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1,25</w:t>
            </w:r>
          </w:p>
          <w:p w:rsidR="009415A6" w:rsidRPr="00582E32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582E32" w:rsidRDefault="009415A6" w:rsidP="009D66CD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9415A6" w:rsidRPr="005F3AA0" w:rsidTr="00CA46B2">
        <w:trPr>
          <w:trHeight w:val="773"/>
          <w:jc w:val="center"/>
        </w:trPr>
        <w:tc>
          <w:tcPr>
            <w:tcW w:w="710" w:type="dxa"/>
          </w:tcPr>
          <w:p w:rsidR="009415A6" w:rsidRPr="00582E32" w:rsidRDefault="009415A6" w:rsidP="009D66CD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582E3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9415A6" w:rsidRPr="00582E32" w:rsidRDefault="009415A6" w:rsidP="009D66CD">
            <w:pPr>
              <w:pStyle w:val="a5"/>
              <w:spacing w:before="0" w:after="0" w:line="216" w:lineRule="auto"/>
              <w:rPr>
                <w:b/>
              </w:rPr>
            </w:pPr>
            <w:r w:rsidRPr="00582E32">
              <w:rPr>
                <w:b/>
              </w:rPr>
              <w:t>Реализация социальной и молодежной политики в городском округе Кинешма</w:t>
            </w:r>
          </w:p>
        </w:tc>
        <w:tc>
          <w:tcPr>
            <w:tcW w:w="2693" w:type="dxa"/>
          </w:tcPr>
          <w:p w:rsidR="009415A6" w:rsidRPr="00582E32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1,25</w:t>
            </w:r>
          </w:p>
          <w:p w:rsidR="009415A6" w:rsidRPr="00582E32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582E32" w:rsidRDefault="009415A6" w:rsidP="009D66CD">
            <w:pPr>
              <w:spacing w:line="216" w:lineRule="auto"/>
              <w:rPr>
                <w:b/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Целесообразно продолжить реализацию  Программы в 202</w:t>
            </w:r>
            <w:r>
              <w:rPr>
                <w:sz w:val="24"/>
                <w:szCs w:val="24"/>
              </w:rPr>
              <w:t>5</w:t>
            </w:r>
            <w:r w:rsidRPr="00582E32">
              <w:rPr>
                <w:sz w:val="24"/>
                <w:szCs w:val="24"/>
              </w:rPr>
              <w:t xml:space="preserve"> году</w:t>
            </w:r>
          </w:p>
        </w:tc>
      </w:tr>
      <w:tr w:rsidR="009415A6" w:rsidRPr="005F3AA0" w:rsidTr="00CA46B2">
        <w:trPr>
          <w:trHeight w:val="773"/>
          <w:jc w:val="center"/>
        </w:trPr>
        <w:tc>
          <w:tcPr>
            <w:tcW w:w="710" w:type="dxa"/>
          </w:tcPr>
          <w:p w:rsidR="009415A6" w:rsidRPr="00582E32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16.1</w:t>
            </w:r>
          </w:p>
        </w:tc>
        <w:tc>
          <w:tcPr>
            <w:tcW w:w="3544" w:type="dxa"/>
          </w:tcPr>
          <w:p w:rsidR="009415A6" w:rsidRPr="00582E32" w:rsidRDefault="009415A6" w:rsidP="009D66CD">
            <w:pPr>
              <w:pStyle w:val="a5"/>
              <w:spacing w:before="0" w:after="0" w:line="216" w:lineRule="auto"/>
            </w:pPr>
            <w:r w:rsidRPr="00582E32">
              <w:t>Поддержка отдельных категорий граждан городского округа Кинешма</w:t>
            </w:r>
          </w:p>
        </w:tc>
        <w:tc>
          <w:tcPr>
            <w:tcW w:w="2693" w:type="dxa"/>
          </w:tcPr>
          <w:p w:rsidR="009415A6" w:rsidRPr="00582E32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1,25</w:t>
            </w:r>
          </w:p>
          <w:p w:rsidR="009415A6" w:rsidRPr="00582E32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582E32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5F3AA0" w:rsidTr="00CA46B2">
        <w:trPr>
          <w:trHeight w:val="544"/>
          <w:jc w:val="center"/>
        </w:trPr>
        <w:tc>
          <w:tcPr>
            <w:tcW w:w="710" w:type="dxa"/>
          </w:tcPr>
          <w:p w:rsidR="009415A6" w:rsidRPr="00582E32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16.2</w:t>
            </w:r>
          </w:p>
        </w:tc>
        <w:tc>
          <w:tcPr>
            <w:tcW w:w="3544" w:type="dxa"/>
          </w:tcPr>
          <w:p w:rsidR="009415A6" w:rsidRPr="00582E32" w:rsidRDefault="009415A6" w:rsidP="009D66CD">
            <w:pPr>
              <w:pStyle w:val="a5"/>
              <w:spacing w:before="0" w:after="0" w:line="216" w:lineRule="auto"/>
            </w:pPr>
            <w:r w:rsidRPr="00582E32">
              <w:t>Дети города Кинешма</w:t>
            </w:r>
          </w:p>
        </w:tc>
        <w:tc>
          <w:tcPr>
            <w:tcW w:w="2693" w:type="dxa"/>
          </w:tcPr>
          <w:p w:rsidR="009415A6" w:rsidRPr="00582E32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1,25</w:t>
            </w:r>
          </w:p>
          <w:p w:rsidR="009415A6" w:rsidRPr="00582E32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582E32" w:rsidRDefault="009415A6" w:rsidP="009D66C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415A6" w:rsidRPr="005F3AA0" w:rsidTr="00CA46B2">
        <w:trPr>
          <w:trHeight w:val="552"/>
          <w:jc w:val="center"/>
        </w:trPr>
        <w:tc>
          <w:tcPr>
            <w:tcW w:w="710" w:type="dxa"/>
          </w:tcPr>
          <w:p w:rsidR="009415A6" w:rsidRPr="00582E32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16.3</w:t>
            </w:r>
          </w:p>
        </w:tc>
        <w:tc>
          <w:tcPr>
            <w:tcW w:w="3544" w:type="dxa"/>
          </w:tcPr>
          <w:p w:rsidR="009415A6" w:rsidRPr="00582E32" w:rsidRDefault="009415A6" w:rsidP="009D66CD">
            <w:pPr>
              <w:pStyle w:val="a5"/>
              <w:spacing w:before="0" w:after="0" w:line="216" w:lineRule="auto"/>
            </w:pPr>
            <w:r w:rsidRPr="00582E32">
              <w:t>Молодежная политика  городского округа Кинешма</w:t>
            </w:r>
          </w:p>
        </w:tc>
        <w:tc>
          <w:tcPr>
            <w:tcW w:w="2693" w:type="dxa"/>
          </w:tcPr>
          <w:p w:rsidR="009415A6" w:rsidRPr="00582E32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1,25</w:t>
            </w:r>
          </w:p>
          <w:p w:rsidR="009415A6" w:rsidRPr="00582E32" w:rsidRDefault="009415A6" w:rsidP="009D66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9415A6" w:rsidRPr="00601662" w:rsidRDefault="009415A6" w:rsidP="009D66CD">
            <w:pPr>
              <w:spacing w:line="216" w:lineRule="auto"/>
              <w:rPr>
                <w:color w:val="C0504D" w:themeColor="accent2"/>
                <w:sz w:val="24"/>
                <w:szCs w:val="24"/>
              </w:rPr>
            </w:pPr>
          </w:p>
        </w:tc>
      </w:tr>
    </w:tbl>
    <w:p w:rsidR="009415A6" w:rsidRDefault="009415A6" w:rsidP="00A210E6">
      <w:pPr>
        <w:rPr>
          <w:b/>
        </w:rPr>
      </w:pPr>
    </w:p>
    <w:p w:rsidR="009D66CD" w:rsidRDefault="009D66CD" w:rsidP="00B1219B">
      <w:pPr>
        <w:pStyle w:val="a3"/>
        <w:ind w:left="-284"/>
        <w:rPr>
          <w:b/>
        </w:rPr>
      </w:pPr>
    </w:p>
    <w:p w:rsidR="009D66CD" w:rsidRDefault="009D66CD" w:rsidP="00B1219B">
      <w:pPr>
        <w:pStyle w:val="a3"/>
        <w:ind w:left="-284"/>
        <w:rPr>
          <w:b/>
        </w:rPr>
      </w:pPr>
    </w:p>
    <w:p w:rsidR="00C348BF" w:rsidRDefault="00C348BF" w:rsidP="00B1219B">
      <w:pPr>
        <w:pStyle w:val="a3"/>
        <w:ind w:left="-284"/>
        <w:rPr>
          <w:b/>
        </w:rPr>
      </w:pP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полномочия</w:t>
      </w:r>
    </w:p>
    <w:p w:rsidR="000123F4" w:rsidRPr="009C6B9B" w:rsidRDefault="00C348BF" w:rsidP="00B1219B">
      <w:pPr>
        <w:pStyle w:val="a3"/>
        <w:ind w:left="-284"/>
        <w:rPr>
          <w:b/>
        </w:rPr>
      </w:pPr>
      <w:r>
        <w:rPr>
          <w:b/>
        </w:rPr>
        <w:t>з</w:t>
      </w:r>
      <w:r w:rsidR="000123F4" w:rsidRPr="009C6B9B">
        <w:rPr>
          <w:b/>
        </w:rPr>
        <w:t>аместител</w:t>
      </w:r>
      <w:r>
        <w:rPr>
          <w:b/>
        </w:rPr>
        <w:t>я</w:t>
      </w:r>
      <w:r w:rsidR="000123F4" w:rsidRPr="009C6B9B">
        <w:rPr>
          <w:b/>
        </w:rPr>
        <w:t xml:space="preserve"> главы администрации</w:t>
      </w:r>
    </w:p>
    <w:p w:rsidR="003B4C68" w:rsidRDefault="000123F4" w:rsidP="00B1219B">
      <w:pPr>
        <w:pStyle w:val="a3"/>
        <w:ind w:left="-284"/>
        <w:rPr>
          <w:sz w:val="22"/>
          <w:szCs w:val="22"/>
        </w:rPr>
      </w:pPr>
      <w:r w:rsidRPr="009C6B9B">
        <w:rPr>
          <w:b/>
        </w:rPr>
        <w:t xml:space="preserve">городского округа Кинешма        </w:t>
      </w:r>
      <w:r w:rsidR="009C6B9B">
        <w:rPr>
          <w:b/>
        </w:rPr>
        <w:t xml:space="preserve">                             </w:t>
      </w:r>
      <w:r w:rsidRPr="009C6B9B">
        <w:rPr>
          <w:b/>
        </w:rPr>
        <w:t xml:space="preserve">                        </w:t>
      </w:r>
      <w:r w:rsidR="00AD3328">
        <w:rPr>
          <w:b/>
        </w:rPr>
        <w:t xml:space="preserve">   </w:t>
      </w:r>
      <w:r w:rsidRPr="009C6B9B">
        <w:rPr>
          <w:b/>
        </w:rPr>
        <w:t xml:space="preserve">  </w:t>
      </w:r>
      <w:r w:rsidR="00C348BF">
        <w:rPr>
          <w:b/>
        </w:rPr>
        <w:t xml:space="preserve">М.С. </w:t>
      </w:r>
      <w:r w:rsidR="00690575">
        <w:rPr>
          <w:b/>
        </w:rPr>
        <w:t>У</w:t>
      </w:r>
      <w:r w:rsidR="00C348BF">
        <w:rPr>
          <w:b/>
        </w:rPr>
        <w:t>стинова</w:t>
      </w:r>
    </w:p>
    <w:p w:rsidR="00CB28B8" w:rsidRDefault="00CB28B8" w:rsidP="00B1219B">
      <w:pPr>
        <w:pStyle w:val="a3"/>
        <w:ind w:left="-284"/>
        <w:rPr>
          <w:sz w:val="22"/>
          <w:szCs w:val="22"/>
        </w:rPr>
      </w:pPr>
    </w:p>
    <w:p w:rsidR="007E2A89" w:rsidRDefault="007E2A89" w:rsidP="00702A07">
      <w:pPr>
        <w:pStyle w:val="a3"/>
        <w:ind w:left="-284"/>
        <w:rPr>
          <w:sz w:val="22"/>
          <w:szCs w:val="22"/>
        </w:rPr>
      </w:pPr>
    </w:p>
    <w:p w:rsidR="007E2A89" w:rsidRDefault="007E2A89" w:rsidP="00702A07">
      <w:pPr>
        <w:pStyle w:val="a3"/>
        <w:ind w:left="-284"/>
        <w:rPr>
          <w:sz w:val="22"/>
          <w:szCs w:val="22"/>
        </w:rPr>
      </w:pPr>
    </w:p>
    <w:p w:rsidR="007E2A89" w:rsidRDefault="007E2A89" w:rsidP="00702A07">
      <w:pPr>
        <w:pStyle w:val="a3"/>
        <w:ind w:left="-284"/>
        <w:rPr>
          <w:sz w:val="22"/>
          <w:szCs w:val="22"/>
        </w:rPr>
      </w:pPr>
    </w:p>
    <w:p w:rsidR="007E2A89" w:rsidRDefault="007E2A89" w:rsidP="00702A07">
      <w:pPr>
        <w:pStyle w:val="a3"/>
        <w:ind w:left="-284"/>
        <w:rPr>
          <w:sz w:val="22"/>
          <w:szCs w:val="22"/>
        </w:rPr>
      </w:pP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="00166690">
        <w:rPr>
          <w:sz w:val="22"/>
          <w:szCs w:val="22"/>
        </w:rPr>
        <w:t>н</w:t>
      </w:r>
      <w:r>
        <w:rPr>
          <w:sz w:val="22"/>
          <w:szCs w:val="22"/>
        </w:rPr>
        <w:t>ачальник управления экономического развития, торговли</w:t>
      </w:r>
    </w:p>
    <w:p w:rsidR="007E2A89" w:rsidRDefault="007E2A89" w:rsidP="00702A07">
      <w:pPr>
        <w:pStyle w:val="a3"/>
        <w:ind w:left="-284"/>
        <w:rPr>
          <w:sz w:val="22"/>
          <w:szCs w:val="22"/>
        </w:rPr>
      </w:pPr>
      <w:r>
        <w:rPr>
          <w:sz w:val="22"/>
          <w:szCs w:val="22"/>
        </w:rPr>
        <w:t>и транспорта администрации городского округа Кинешма  Разгуляева Т.А.</w:t>
      </w:r>
    </w:p>
    <w:p w:rsidR="007E2A89" w:rsidRDefault="007E2A89" w:rsidP="00702A07">
      <w:pPr>
        <w:pStyle w:val="a3"/>
        <w:ind w:left="-284"/>
        <w:rPr>
          <w:sz w:val="22"/>
          <w:szCs w:val="22"/>
        </w:rPr>
      </w:pPr>
    </w:p>
    <w:p w:rsidR="007E2A89" w:rsidRDefault="007E2A89" w:rsidP="00702A07">
      <w:pPr>
        <w:pStyle w:val="a3"/>
        <w:ind w:left="-284"/>
        <w:rPr>
          <w:sz w:val="22"/>
          <w:szCs w:val="22"/>
        </w:rPr>
      </w:pPr>
    </w:p>
    <w:p w:rsidR="007E2A89" w:rsidRDefault="007E2A89" w:rsidP="00702A07">
      <w:pPr>
        <w:pStyle w:val="a3"/>
        <w:ind w:left="-284"/>
        <w:rPr>
          <w:sz w:val="22"/>
          <w:szCs w:val="22"/>
        </w:rPr>
      </w:pPr>
    </w:p>
    <w:p w:rsidR="00702A07" w:rsidRPr="007E2A89" w:rsidRDefault="00702A07" w:rsidP="007E2A89">
      <w:pPr>
        <w:pStyle w:val="a3"/>
        <w:ind w:left="-284"/>
        <w:rPr>
          <w:sz w:val="22"/>
          <w:szCs w:val="22"/>
        </w:rPr>
      </w:pPr>
      <w:r w:rsidRPr="003B4C68">
        <w:rPr>
          <w:sz w:val="22"/>
          <w:szCs w:val="22"/>
        </w:rPr>
        <w:t>исп</w:t>
      </w:r>
      <w:r w:rsidR="007E2A89">
        <w:rPr>
          <w:sz w:val="22"/>
          <w:szCs w:val="22"/>
        </w:rPr>
        <w:t>.</w:t>
      </w:r>
      <w:r w:rsidRPr="003B4C68">
        <w:rPr>
          <w:sz w:val="22"/>
          <w:szCs w:val="22"/>
        </w:rPr>
        <w:t xml:space="preserve"> </w:t>
      </w:r>
      <w:r w:rsidR="007E2A89">
        <w:rPr>
          <w:sz w:val="22"/>
          <w:szCs w:val="22"/>
        </w:rPr>
        <w:t xml:space="preserve"> </w:t>
      </w:r>
      <w:r w:rsidRPr="007E2A89">
        <w:rPr>
          <w:sz w:val="22"/>
          <w:szCs w:val="22"/>
        </w:rPr>
        <w:t>Зубкова И.П.</w:t>
      </w:r>
    </w:p>
    <w:p w:rsidR="00E9443C" w:rsidRPr="00702A07" w:rsidRDefault="00166690" w:rsidP="009C7B9B">
      <w:pPr>
        <w:pStyle w:val="a3"/>
        <w:ind w:left="-284"/>
        <w:rPr>
          <w:sz w:val="22"/>
          <w:szCs w:val="22"/>
        </w:rPr>
      </w:pPr>
      <w:r>
        <w:rPr>
          <w:sz w:val="22"/>
          <w:szCs w:val="22"/>
        </w:rPr>
        <w:t>тел.56097</w:t>
      </w:r>
    </w:p>
    <w:sectPr w:rsidR="00E9443C" w:rsidRPr="00702A07" w:rsidSect="009C7B9B">
      <w:pgSz w:w="11906" w:h="16838" w:code="9"/>
      <w:pgMar w:top="851" w:right="62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6BB"/>
    <w:multiLevelType w:val="multilevel"/>
    <w:tmpl w:val="607002A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3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">
    <w:nsid w:val="4D1737DF"/>
    <w:multiLevelType w:val="hybridMultilevel"/>
    <w:tmpl w:val="693A70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32B8C"/>
    <w:multiLevelType w:val="multilevel"/>
    <w:tmpl w:val="B8E8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F2"/>
    <w:rsid w:val="00006F19"/>
    <w:rsid w:val="000123F4"/>
    <w:rsid w:val="00014A53"/>
    <w:rsid w:val="00015BFC"/>
    <w:rsid w:val="0002309A"/>
    <w:rsid w:val="0002315E"/>
    <w:rsid w:val="00025AA8"/>
    <w:rsid w:val="00031869"/>
    <w:rsid w:val="00034A83"/>
    <w:rsid w:val="00045BCF"/>
    <w:rsid w:val="000472A7"/>
    <w:rsid w:val="00051415"/>
    <w:rsid w:val="00077CFF"/>
    <w:rsid w:val="00087C6F"/>
    <w:rsid w:val="000A0CBE"/>
    <w:rsid w:val="000E1953"/>
    <w:rsid w:val="000F3725"/>
    <w:rsid w:val="000F3CC8"/>
    <w:rsid w:val="00100A8C"/>
    <w:rsid w:val="00103BC1"/>
    <w:rsid w:val="00105277"/>
    <w:rsid w:val="0011127E"/>
    <w:rsid w:val="0012140C"/>
    <w:rsid w:val="001230E4"/>
    <w:rsid w:val="00124F0A"/>
    <w:rsid w:val="00125C8E"/>
    <w:rsid w:val="00141134"/>
    <w:rsid w:val="00162C77"/>
    <w:rsid w:val="001630CB"/>
    <w:rsid w:val="001643AA"/>
    <w:rsid w:val="00166690"/>
    <w:rsid w:val="001666BE"/>
    <w:rsid w:val="0016737A"/>
    <w:rsid w:val="00180F0E"/>
    <w:rsid w:val="00182F6F"/>
    <w:rsid w:val="00186B0E"/>
    <w:rsid w:val="001962F6"/>
    <w:rsid w:val="001D2F76"/>
    <w:rsid w:val="001D5332"/>
    <w:rsid w:val="001E04CA"/>
    <w:rsid w:val="001E31D1"/>
    <w:rsid w:val="001E7B51"/>
    <w:rsid w:val="001F1778"/>
    <w:rsid w:val="001F2E88"/>
    <w:rsid w:val="001F388A"/>
    <w:rsid w:val="001F6157"/>
    <w:rsid w:val="001F62FC"/>
    <w:rsid w:val="00200F19"/>
    <w:rsid w:val="00207687"/>
    <w:rsid w:val="0021116A"/>
    <w:rsid w:val="0022134F"/>
    <w:rsid w:val="00222EDC"/>
    <w:rsid w:val="00225B1C"/>
    <w:rsid w:val="00242BED"/>
    <w:rsid w:val="00243923"/>
    <w:rsid w:val="00244B19"/>
    <w:rsid w:val="00247502"/>
    <w:rsid w:val="00257525"/>
    <w:rsid w:val="00276EC6"/>
    <w:rsid w:val="0028701D"/>
    <w:rsid w:val="002901E3"/>
    <w:rsid w:val="002D6125"/>
    <w:rsid w:val="002D636D"/>
    <w:rsid w:val="002E0039"/>
    <w:rsid w:val="002E1BB7"/>
    <w:rsid w:val="002E213F"/>
    <w:rsid w:val="002E6501"/>
    <w:rsid w:val="002E6B1E"/>
    <w:rsid w:val="002E72A3"/>
    <w:rsid w:val="002F5693"/>
    <w:rsid w:val="00301DBD"/>
    <w:rsid w:val="00313014"/>
    <w:rsid w:val="00315D7B"/>
    <w:rsid w:val="00317421"/>
    <w:rsid w:val="00320458"/>
    <w:rsid w:val="00342F2C"/>
    <w:rsid w:val="00353490"/>
    <w:rsid w:val="00362C68"/>
    <w:rsid w:val="00362FE9"/>
    <w:rsid w:val="00364C60"/>
    <w:rsid w:val="003700F0"/>
    <w:rsid w:val="00376196"/>
    <w:rsid w:val="00384D58"/>
    <w:rsid w:val="00393ED1"/>
    <w:rsid w:val="00394FD5"/>
    <w:rsid w:val="003A0AE6"/>
    <w:rsid w:val="003A0F3F"/>
    <w:rsid w:val="003A536A"/>
    <w:rsid w:val="003B4C68"/>
    <w:rsid w:val="003B5070"/>
    <w:rsid w:val="003C4FA0"/>
    <w:rsid w:val="003E555F"/>
    <w:rsid w:val="003E7C9E"/>
    <w:rsid w:val="003F2C08"/>
    <w:rsid w:val="003F5358"/>
    <w:rsid w:val="004001B0"/>
    <w:rsid w:val="00404A42"/>
    <w:rsid w:val="00424066"/>
    <w:rsid w:val="004267C2"/>
    <w:rsid w:val="004277B8"/>
    <w:rsid w:val="004326D1"/>
    <w:rsid w:val="00440970"/>
    <w:rsid w:val="00446617"/>
    <w:rsid w:val="00457D0D"/>
    <w:rsid w:val="0046197A"/>
    <w:rsid w:val="00463975"/>
    <w:rsid w:val="00471525"/>
    <w:rsid w:val="00472958"/>
    <w:rsid w:val="00480924"/>
    <w:rsid w:val="00483932"/>
    <w:rsid w:val="00484E44"/>
    <w:rsid w:val="004866B4"/>
    <w:rsid w:val="00487217"/>
    <w:rsid w:val="004A1584"/>
    <w:rsid w:val="004A56AA"/>
    <w:rsid w:val="004A6CB7"/>
    <w:rsid w:val="004B2253"/>
    <w:rsid w:val="004F642C"/>
    <w:rsid w:val="00512D32"/>
    <w:rsid w:val="0051408A"/>
    <w:rsid w:val="005265D6"/>
    <w:rsid w:val="00527631"/>
    <w:rsid w:val="00533353"/>
    <w:rsid w:val="005338C3"/>
    <w:rsid w:val="00540B64"/>
    <w:rsid w:val="00542305"/>
    <w:rsid w:val="005434CC"/>
    <w:rsid w:val="00544CBD"/>
    <w:rsid w:val="00550FC1"/>
    <w:rsid w:val="00551142"/>
    <w:rsid w:val="005551E1"/>
    <w:rsid w:val="005641E2"/>
    <w:rsid w:val="00576690"/>
    <w:rsid w:val="00581495"/>
    <w:rsid w:val="00582E32"/>
    <w:rsid w:val="005866D1"/>
    <w:rsid w:val="005870D1"/>
    <w:rsid w:val="00590D6D"/>
    <w:rsid w:val="00590E92"/>
    <w:rsid w:val="00591D24"/>
    <w:rsid w:val="00597ED8"/>
    <w:rsid w:val="005A2E2D"/>
    <w:rsid w:val="005B339C"/>
    <w:rsid w:val="005B35AD"/>
    <w:rsid w:val="005B6CE0"/>
    <w:rsid w:val="005C7632"/>
    <w:rsid w:val="005C7F6F"/>
    <w:rsid w:val="005D50F7"/>
    <w:rsid w:val="005E3EB7"/>
    <w:rsid w:val="005E779C"/>
    <w:rsid w:val="005F0F08"/>
    <w:rsid w:val="005F3AA0"/>
    <w:rsid w:val="00600D5A"/>
    <w:rsid w:val="00601662"/>
    <w:rsid w:val="00602BE0"/>
    <w:rsid w:val="00605277"/>
    <w:rsid w:val="006138DE"/>
    <w:rsid w:val="00614E2A"/>
    <w:rsid w:val="00617F20"/>
    <w:rsid w:val="00621DBF"/>
    <w:rsid w:val="00624A88"/>
    <w:rsid w:val="00625CB9"/>
    <w:rsid w:val="00627F33"/>
    <w:rsid w:val="006436A7"/>
    <w:rsid w:val="00680BBE"/>
    <w:rsid w:val="00690575"/>
    <w:rsid w:val="0069292E"/>
    <w:rsid w:val="006B4F55"/>
    <w:rsid w:val="006B67A9"/>
    <w:rsid w:val="006C6E0D"/>
    <w:rsid w:val="006D240E"/>
    <w:rsid w:val="006E3485"/>
    <w:rsid w:val="006E7F1B"/>
    <w:rsid w:val="006F7C42"/>
    <w:rsid w:val="00702A07"/>
    <w:rsid w:val="00704463"/>
    <w:rsid w:val="00704E9E"/>
    <w:rsid w:val="00712E76"/>
    <w:rsid w:val="00713584"/>
    <w:rsid w:val="00723163"/>
    <w:rsid w:val="00724790"/>
    <w:rsid w:val="00736EEF"/>
    <w:rsid w:val="0074682D"/>
    <w:rsid w:val="00756A59"/>
    <w:rsid w:val="00757250"/>
    <w:rsid w:val="0076333D"/>
    <w:rsid w:val="00785F4F"/>
    <w:rsid w:val="00795B43"/>
    <w:rsid w:val="007A4002"/>
    <w:rsid w:val="007A53CE"/>
    <w:rsid w:val="007B40FD"/>
    <w:rsid w:val="007C0806"/>
    <w:rsid w:val="007C12E8"/>
    <w:rsid w:val="007C7C11"/>
    <w:rsid w:val="007D577B"/>
    <w:rsid w:val="007E2A89"/>
    <w:rsid w:val="007F6209"/>
    <w:rsid w:val="0080315D"/>
    <w:rsid w:val="008062FE"/>
    <w:rsid w:val="00806923"/>
    <w:rsid w:val="008134C5"/>
    <w:rsid w:val="00827A68"/>
    <w:rsid w:val="00830E5C"/>
    <w:rsid w:val="00831B5B"/>
    <w:rsid w:val="00834047"/>
    <w:rsid w:val="0083420D"/>
    <w:rsid w:val="008379AB"/>
    <w:rsid w:val="008417C8"/>
    <w:rsid w:val="008419D8"/>
    <w:rsid w:val="0084293C"/>
    <w:rsid w:val="00862F46"/>
    <w:rsid w:val="0087367D"/>
    <w:rsid w:val="00886A3C"/>
    <w:rsid w:val="00890545"/>
    <w:rsid w:val="0089210B"/>
    <w:rsid w:val="00892487"/>
    <w:rsid w:val="008A268C"/>
    <w:rsid w:val="008A60AB"/>
    <w:rsid w:val="008A787D"/>
    <w:rsid w:val="008B1C27"/>
    <w:rsid w:val="008B7592"/>
    <w:rsid w:val="008B7CCB"/>
    <w:rsid w:val="008B7FD7"/>
    <w:rsid w:val="008C47E2"/>
    <w:rsid w:val="008D4494"/>
    <w:rsid w:val="008E4D42"/>
    <w:rsid w:val="008F08E7"/>
    <w:rsid w:val="008F57D5"/>
    <w:rsid w:val="00900147"/>
    <w:rsid w:val="00910A83"/>
    <w:rsid w:val="009118F4"/>
    <w:rsid w:val="00911EE4"/>
    <w:rsid w:val="00927502"/>
    <w:rsid w:val="009278E0"/>
    <w:rsid w:val="00940082"/>
    <w:rsid w:val="009415A6"/>
    <w:rsid w:val="00942F39"/>
    <w:rsid w:val="00947214"/>
    <w:rsid w:val="009528A8"/>
    <w:rsid w:val="009575C0"/>
    <w:rsid w:val="00957C74"/>
    <w:rsid w:val="00961B3C"/>
    <w:rsid w:val="00962048"/>
    <w:rsid w:val="00962814"/>
    <w:rsid w:val="00967F07"/>
    <w:rsid w:val="009723F4"/>
    <w:rsid w:val="009825A0"/>
    <w:rsid w:val="009842E5"/>
    <w:rsid w:val="00984C2B"/>
    <w:rsid w:val="009A2BE6"/>
    <w:rsid w:val="009B1CEC"/>
    <w:rsid w:val="009B28B8"/>
    <w:rsid w:val="009B5AA8"/>
    <w:rsid w:val="009C6B9B"/>
    <w:rsid w:val="009C7B9B"/>
    <w:rsid w:val="009D0CBD"/>
    <w:rsid w:val="009D1EC8"/>
    <w:rsid w:val="009D66CD"/>
    <w:rsid w:val="009D7ADA"/>
    <w:rsid w:val="009E333C"/>
    <w:rsid w:val="009F0CCB"/>
    <w:rsid w:val="009F1223"/>
    <w:rsid w:val="00A05FFA"/>
    <w:rsid w:val="00A210E6"/>
    <w:rsid w:val="00A338CD"/>
    <w:rsid w:val="00A36A2E"/>
    <w:rsid w:val="00A445DF"/>
    <w:rsid w:val="00A51643"/>
    <w:rsid w:val="00A56196"/>
    <w:rsid w:val="00A630ED"/>
    <w:rsid w:val="00A71580"/>
    <w:rsid w:val="00A84A9E"/>
    <w:rsid w:val="00A87BAB"/>
    <w:rsid w:val="00A95715"/>
    <w:rsid w:val="00A97F9D"/>
    <w:rsid w:val="00AA0137"/>
    <w:rsid w:val="00AA2507"/>
    <w:rsid w:val="00AB3BA8"/>
    <w:rsid w:val="00AB40C8"/>
    <w:rsid w:val="00AB4589"/>
    <w:rsid w:val="00AC2AFB"/>
    <w:rsid w:val="00AC47C3"/>
    <w:rsid w:val="00AC64B4"/>
    <w:rsid w:val="00AD3328"/>
    <w:rsid w:val="00AF4DA9"/>
    <w:rsid w:val="00AF7736"/>
    <w:rsid w:val="00B024CA"/>
    <w:rsid w:val="00B1219B"/>
    <w:rsid w:val="00B24C43"/>
    <w:rsid w:val="00B37EF4"/>
    <w:rsid w:val="00B420D4"/>
    <w:rsid w:val="00B54769"/>
    <w:rsid w:val="00B575B3"/>
    <w:rsid w:val="00B66BE0"/>
    <w:rsid w:val="00B72084"/>
    <w:rsid w:val="00B722D0"/>
    <w:rsid w:val="00B729CD"/>
    <w:rsid w:val="00B75AE4"/>
    <w:rsid w:val="00B76597"/>
    <w:rsid w:val="00B82A6F"/>
    <w:rsid w:val="00B942F2"/>
    <w:rsid w:val="00B95E80"/>
    <w:rsid w:val="00B97455"/>
    <w:rsid w:val="00BA4F13"/>
    <w:rsid w:val="00BB05B4"/>
    <w:rsid w:val="00BC0468"/>
    <w:rsid w:val="00BC09C4"/>
    <w:rsid w:val="00BC5DB4"/>
    <w:rsid w:val="00BC5ECF"/>
    <w:rsid w:val="00BE5BB9"/>
    <w:rsid w:val="00BF495B"/>
    <w:rsid w:val="00BF6C66"/>
    <w:rsid w:val="00BF79BF"/>
    <w:rsid w:val="00C01858"/>
    <w:rsid w:val="00C02C40"/>
    <w:rsid w:val="00C03696"/>
    <w:rsid w:val="00C06A47"/>
    <w:rsid w:val="00C1048E"/>
    <w:rsid w:val="00C175D5"/>
    <w:rsid w:val="00C21641"/>
    <w:rsid w:val="00C24E7D"/>
    <w:rsid w:val="00C2562D"/>
    <w:rsid w:val="00C27FEF"/>
    <w:rsid w:val="00C348BF"/>
    <w:rsid w:val="00C4053E"/>
    <w:rsid w:val="00C40D92"/>
    <w:rsid w:val="00C46122"/>
    <w:rsid w:val="00C56383"/>
    <w:rsid w:val="00C66BCB"/>
    <w:rsid w:val="00C67FB5"/>
    <w:rsid w:val="00C75523"/>
    <w:rsid w:val="00C82BAE"/>
    <w:rsid w:val="00C86B9D"/>
    <w:rsid w:val="00C92DEF"/>
    <w:rsid w:val="00C931F2"/>
    <w:rsid w:val="00C9399F"/>
    <w:rsid w:val="00CA508E"/>
    <w:rsid w:val="00CA7AB0"/>
    <w:rsid w:val="00CB28B8"/>
    <w:rsid w:val="00CC1836"/>
    <w:rsid w:val="00CC1BEA"/>
    <w:rsid w:val="00CC5712"/>
    <w:rsid w:val="00CE033C"/>
    <w:rsid w:val="00CE0689"/>
    <w:rsid w:val="00CE30A4"/>
    <w:rsid w:val="00CE6EE4"/>
    <w:rsid w:val="00CF0E18"/>
    <w:rsid w:val="00CF1204"/>
    <w:rsid w:val="00D105FB"/>
    <w:rsid w:val="00D21F84"/>
    <w:rsid w:val="00D242DC"/>
    <w:rsid w:val="00D256A5"/>
    <w:rsid w:val="00D27A65"/>
    <w:rsid w:val="00D31A32"/>
    <w:rsid w:val="00D3730A"/>
    <w:rsid w:val="00D47EEC"/>
    <w:rsid w:val="00D53180"/>
    <w:rsid w:val="00D5496B"/>
    <w:rsid w:val="00D627C3"/>
    <w:rsid w:val="00D64B93"/>
    <w:rsid w:val="00D74922"/>
    <w:rsid w:val="00D815F7"/>
    <w:rsid w:val="00D851FE"/>
    <w:rsid w:val="00DA13C9"/>
    <w:rsid w:val="00DA3658"/>
    <w:rsid w:val="00DC1F99"/>
    <w:rsid w:val="00DC70CF"/>
    <w:rsid w:val="00DD3059"/>
    <w:rsid w:val="00DE1EA3"/>
    <w:rsid w:val="00E102FC"/>
    <w:rsid w:val="00E1400A"/>
    <w:rsid w:val="00E148B1"/>
    <w:rsid w:val="00E16569"/>
    <w:rsid w:val="00E31B55"/>
    <w:rsid w:val="00E4672E"/>
    <w:rsid w:val="00E527C6"/>
    <w:rsid w:val="00E55704"/>
    <w:rsid w:val="00E63943"/>
    <w:rsid w:val="00E673C5"/>
    <w:rsid w:val="00E71E1D"/>
    <w:rsid w:val="00E75603"/>
    <w:rsid w:val="00E8621E"/>
    <w:rsid w:val="00E87488"/>
    <w:rsid w:val="00E87A30"/>
    <w:rsid w:val="00E94290"/>
    <w:rsid w:val="00E9443C"/>
    <w:rsid w:val="00EA2366"/>
    <w:rsid w:val="00EB311C"/>
    <w:rsid w:val="00ED0389"/>
    <w:rsid w:val="00EF4A03"/>
    <w:rsid w:val="00EF5200"/>
    <w:rsid w:val="00F0252A"/>
    <w:rsid w:val="00F24CD3"/>
    <w:rsid w:val="00F36198"/>
    <w:rsid w:val="00F47F02"/>
    <w:rsid w:val="00F572D2"/>
    <w:rsid w:val="00F62322"/>
    <w:rsid w:val="00F658B2"/>
    <w:rsid w:val="00F82A68"/>
    <w:rsid w:val="00F8743A"/>
    <w:rsid w:val="00FA4C9E"/>
    <w:rsid w:val="00FA7717"/>
    <w:rsid w:val="00FB1A42"/>
    <w:rsid w:val="00FB4266"/>
    <w:rsid w:val="00FB64C3"/>
    <w:rsid w:val="00FC3DE1"/>
    <w:rsid w:val="00FC4947"/>
    <w:rsid w:val="00FD08CA"/>
    <w:rsid w:val="00FD1648"/>
    <w:rsid w:val="00FD441F"/>
    <w:rsid w:val="00FD7CAE"/>
    <w:rsid w:val="00FE6842"/>
    <w:rsid w:val="00FF1090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84"/>
    <w:pPr>
      <w:ind w:left="720"/>
      <w:contextualSpacing/>
    </w:pPr>
  </w:style>
  <w:style w:type="table" w:styleId="a4">
    <w:name w:val="Table Grid"/>
    <w:basedOn w:val="a1"/>
    <w:uiPriority w:val="59"/>
    <w:rsid w:val="00B7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72084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3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84"/>
    <w:pPr>
      <w:ind w:left="720"/>
      <w:contextualSpacing/>
    </w:pPr>
  </w:style>
  <w:style w:type="table" w:styleId="a4">
    <w:name w:val="Table Grid"/>
    <w:basedOn w:val="a1"/>
    <w:uiPriority w:val="59"/>
    <w:rsid w:val="00B7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72084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3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CB10-7478-4FDE-9B73-47A08113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3376</TotalTime>
  <Pages>8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</Company>
  <LinksUpToDate>false</LinksUpToDate>
  <CharactersWithSpaces>15181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Зубкова</dc:creator>
  <cp:lastModifiedBy>Ирина Петровна Зубкова</cp:lastModifiedBy>
  <cp:revision>142</cp:revision>
  <cp:lastPrinted>2025-04-02T05:45:00Z</cp:lastPrinted>
  <dcterms:created xsi:type="dcterms:W3CDTF">2022-02-25T10:48:00Z</dcterms:created>
  <dcterms:modified xsi:type="dcterms:W3CDTF">2025-04-02T06:00:00Z</dcterms:modified>
</cp:coreProperties>
</file>