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17" w:rsidRPr="00FA7717" w:rsidRDefault="003F2C08" w:rsidP="00FA7717">
      <w:pPr>
        <w:pStyle w:val="1"/>
        <w:jc w:val="center"/>
        <w:rPr>
          <w:color w:val="auto"/>
        </w:rPr>
      </w:pPr>
      <w:r>
        <w:rPr>
          <w:color w:val="auto"/>
          <w:lang w:val="en-US"/>
        </w:rPr>
        <w:t>II</w:t>
      </w:r>
      <w:r w:rsidRPr="003F2C08">
        <w:rPr>
          <w:color w:val="auto"/>
        </w:rPr>
        <w:t xml:space="preserve">. </w:t>
      </w:r>
      <w:r w:rsidR="00FA7717" w:rsidRPr="00FA7717">
        <w:rPr>
          <w:color w:val="auto"/>
        </w:rPr>
        <w:t>Сведения об оценке эффективности реализации</w:t>
      </w:r>
    </w:p>
    <w:p w:rsidR="001962F6" w:rsidRDefault="00B72084" w:rsidP="00014A53">
      <w:pPr>
        <w:pStyle w:val="a3"/>
        <w:ind w:left="394"/>
        <w:jc w:val="center"/>
        <w:rPr>
          <w:b/>
        </w:rPr>
      </w:pPr>
      <w:r w:rsidRPr="004715A2">
        <w:rPr>
          <w:b/>
        </w:rPr>
        <w:t>муниципальных Программ</w:t>
      </w:r>
      <w:r w:rsidR="001962F6">
        <w:rPr>
          <w:b/>
        </w:rPr>
        <w:t xml:space="preserve"> городского округа Кинешма</w:t>
      </w:r>
    </w:p>
    <w:p w:rsidR="00014A53" w:rsidRDefault="00B72084" w:rsidP="00014A53">
      <w:pPr>
        <w:pStyle w:val="a3"/>
        <w:ind w:left="394"/>
        <w:jc w:val="center"/>
        <w:rPr>
          <w:b/>
        </w:rPr>
      </w:pPr>
      <w:r w:rsidRPr="004715A2">
        <w:rPr>
          <w:b/>
        </w:rPr>
        <w:t xml:space="preserve"> в 20</w:t>
      </w:r>
      <w:r w:rsidR="00105277">
        <w:rPr>
          <w:b/>
        </w:rPr>
        <w:t>2</w:t>
      </w:r>
      <w:r w:rsidR="00B024CA">
        <w:rPr>
          <w:b/>
        </w:rPr>
        <w:t>2</w:t>
      </w:r>
      <w:r w:rsidRPr="004715A2">
        <w:rPr>
          <w:b/>
        </w:rPr>
        <w:t xml:space="preserve"> году</w:t>
      </w:r>
    </w:p>
    <w:p w:rsidR="00FA7717" w:rsidRDefault="00FA7717" w:rsidP="00014A53">
      <w:pPr>
        <w:pStyle w:val="a3"/>
        <w:ind w:left="394"/>
        <w:jc w:val="center"/>
        <w:rPr>
          <w:b/>
        </w:rPr>
      </w:pPr>
    </w:p>
    <w:p w:rsidR="00C02C40" w:rsidRPr="00014A53" w:rsidRDefault="00C02C40" w:rsidP="00FA7717">
      <w:pPr>
        <w:pStyle w:val="a3"/>
        <w:ind w:left="0" w:firstLine="709"/>
        <w:jc w:val="both"/>
        <w:rPr>
          <w:b/>
        </w:rPr>
      </w:pPr>
      <w:r>
        <w:t xml:space="preserve">В соответствии с методикой </w:t>
      </w:r>
      <w:proofErr w:type="gramStart"/>
      <w:r>
        <w:t xml:space="preserve">оценки </w:t>
      </w:r>
      <w:r w:rsidR="00581495">
        <w:t xml:space="preserve"> эффективности реализации муниципальных программ городского округа</w:t>
      </w:r>
      <w:proofErr w:type="gramEnd"/>
      <w:r w:rsidR="00581495">
        <w:t xml:space="preserve"> Кинешма</w:t>
      </w:r>
      <w:r w:rsidR="00C66BCB">
        <w:t xml:space="preserve"> (далее – Программа)</w:t>
      </w:r>
      <w:r w:rsidR="00581495">
        <w:t xml:space="preserve">, утвержденной постановлением администрации городского округа Кинешма от 11.11.2013 №2556п, </w:t>
      </w:r>
      <w:r w:rsidR="0051408A">
        <w:t xml:space="preserve">управлением экономического развития, торговли и транспорта </w:t>
      </w:r>
      <w:r w:rsidR="0087367D">
        <w:t xml:space="preserve">администрации городского округа Кинешма проведена оценка эффективности реализации муниципальных </w:t>
      </w:r>
      <w:r w:rsidR="00034A83">
        <w:t>П</w:t>
      </w:r>
      <w:r w:rsidR="0087367D">
        <w:t>рограмм за 20</w:t>
      </w:r>
      <w:r w:rsidR="00276EC6">
        <w:t>2</w:t>
      </w:r>
      <w:r w:rsidR="007E2A89">
        <w:t>2</w:t>
      </w:r>
      <w:r w:rsidR="0087367D">
        <w:t xml:space="preserve"> год</w:t>
      </w:r>
      <w:r w:rsidR="00FA7717">
        <w:t xml:space="preserve"> (далее</w:t>
      </w:r>
      <w:r w:rsidR="00C66BCB">
        <w:t>–оценка эффективности)</w:t>
      </w:r>
      <w:r w:rsidR="0087367D">
        <w:t>.</w:t>
      </w:r>
    </w:p>
    <w:p w:rsidR="0087367D" w:rsidRDefault="0087367D" w:rsidP="00FA7717">
      <w:pPr>
        <w:pStyle w:val="a3"/>
        <w:ind w:left="0" w:firstLine="709"/>
        <w:jc w:val="both"/>
      </w:pPr>
      <w:r>
        <w:t>Оценка эффективности проводится в целях предоставления полной и объективной информации о ходе выполнения и реализации муниципальных программ в отчетном периоде, а также выявления низкоэффективных</w:t>
      </w:r>
      <w:r w:rsidR="00C66BCB">
        <w:t xml:space="preserve"> и неэффективных муниципальных программ для принятия корректирующих в отношении данных муниципальных программ решений.</w:t>
      </w:r>
    </w:p>
    <w:p w:rsidR="00713584" w:rsidRPr="00247502" w:rsidRDefault="00713584" w:rsidP="00247502">
      <w:pPr>
        <w:shd w:val="clear" w:color="auto" w:fill="FFFFFF"/>
        <w:ind w:firstLine="709"/>
        <w:jc w:val="both"/>
        <w:rPr>
          <w:color w:val="000000"/>
        </w:rPr>
      </w:pPr>
      <w:r w:rsidRPr="00713584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муниципальных П</w:t>
      </w:r>
      <w:r w:rsidRPr="00713584">
        <w:rPr>
          <w:color w:val="000000"/>
        </w:rPr>
        <w:t>рограмм</w:t>
      </w:r>
      <w:r>
        <w:rPr>
          <w:color w:val="000000"/>
        </w:rPr>
        <w:t xml:space="preserve"> </w:t>
      </w:r>
      <w:r w:rsidRPr="00713584">
        <w:rPr>
          <w:color w:val="000000"/>
        </w:rPr>
        <w:t>основана на сопоставлении степени достижения планируемых значений</w:t>
      </w:r>
      <w:r>
        <w:rPr>
          <w:color w:val="000000"/>
        </w:rPr>
        <w:t xml:space="preserve"> </w:t>
      </w:r>
      <w:r w:rsidRPr="00713584">
        <w:rPr>
          <w:color w:val="000000"/>
        </w:rPr>
        <w:t xml:space="preserve">целевых индикаторов (показателей) </w:t>
      </w:r>
      <w:r w:rsidR="002E1BB7">
        <w:rPr>
          <w:color w:val="000000"/>
        </w:rPr>
        <w:t>муниципальных</w:t>
      </w:r>
      <w:r w:rsidRPr="00713584">
        <w:rPr>
          <w:color w:val="000000"/>
        </w:rPr>
        <w:t xml:space="preserve"> </w:t>
      </w:r>
      <w:r w:rsidR="001962F6">
        <w:rPr>
          <w:color w:val="000000"/>
        </w:rPr>
        <w:t>П</w:t>
      </w:r>
      <w:r w:rsidRPr="00713584">
        <w:rPr>
          <w:color w:val="000000"/>
        </w:rPr>
        <w:t>рограмм и степени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>соответствия запланированному уровню расходов и эффективности</w:t>
      </w:r>
      <w:r w:rsidR="002E1BB7">
        <w:rPr>
          <w:color w:val="000000"/>
        </w:rPr>
        <w:t xml:space="preserve">  </w:t>
      </w:r>
      <w:r w:rsidRPr="00713584">
        <w:rPr>
          <w:color w:val="000000"/>
        </w:rPr>
        <w:t>использования бюджетных средств. Степень достижения планируемых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 xml:space="preserve">значений целевых индикаторов (показателей) </w:t>
      </w:r>
      <w:r w:rsidR="002E1BB7">
        <w:rPr>
          <w:color w:val="000000"/>
        </w:rPr>
        <w:t xml:space="preserve">муниципальных </w:t>
      </w:r>
      <w:r w:rsidRPr="00713584">
        <w:rPr>
          <w:color w:val="000000"/>
        </w:rPr>
        <w:t xml:space="preserve"> </w:t>
      </w:r>
      <w:r w:rsidR="001962F6">
        <w:rPr>
          <w:color w:val="000000"/>
        </w:rPr>
        <w:t>П</w:t>
      </w:r>
      <w:r w:rsidRPr="00713584">
        <w:rPr>
          <w:color w:val="000000"/>
        </w:rPr>
        <w:t>рограмм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>определяется на основе показателей, планируемых к достижению в отчетном</w:t>
      </w:r>
      <w:r w:rsidR="00927502">
        <w:rPr>
          <w:color w:val="000000"/>
        </w:rPr>
        <w:t xml:space="preserve"> </w:t>
      </w:r>
      <w:r w:rsidRPr="00713584">
        <w:rPr>
          <w:color w:val="000000"/>
        </w:rPr>
        <w:t>году, и реализуемых за счет мероприятий, финансирование которых</w:t>
      </w:r>
      <w:r w:rsidR="00927502">
        <w:rPr>
          <w:color w:val="000000"/>
        </w:rPr>
        <w:t xml:space="preserve"> </w:t>
      </w:r>
      <w:r w:rsidRPr="00713584">
        <w:rPr>
          <w:color w:val="000000"/>
        </w:rPr>
        <w:t>осуществлялось за счет средств бюджетов</w:t>
      </w:r>
      <w:r w:rsidR="00927502">
        <w:rPr>
          <w:color w:val="000000"/>
        </w:rPr>
        <w:t xml:space="preserve"> всех уровней</w:t>
      </w:r>
      <w:r w:rsidRPr="00713584">
        <w:rPr>
          <w:color w:val="000000"/>
        </w:rPr>
        <w:t>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Оценка эффективности проведена в отношении 16 муниципальных </w:t>
      </w:r>
      <w:r w:rsidR="007D577B">
        <w:t>П</w:t>
      </w:r>
      <w:r>
        <w:t>рограмм городского округа Кинешма</w:t>
      </w:r>
      <w:r w:rsidR="00F47F02">
        <w:t xml:space="preserve"> и </w:t>
      </w:r>
      <w:r w:rsidR="003700F0" w:rsidRPr="00125C8E">
        <w:t>3</w:t>
      </w:r>
      <w:r w:rsidR="0002315E" w:rsidRPr="00125C8E">
        <w:t>7</w:t>
      </w:r>
      <w:r w:rsidR="00B54769" w:rsidRPr="002E0039">
        <w:rPr>
          <w:color w:val="C0504D" w:themeColor="accent2"/>
        </w:rPr>
        <w:t xml:space="preserve"> </w:t>
      </w:r>
      <w:r>
        <w:t>подпрограмм.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По результатам проведенной оценки эффективности высокоэффективными муниципальными </w:t>
      </w:r>
      <w:r w:rsidR="007D577B">
        <w:t>П</w:t>
      </w:r>
      <w:r>
        <w:t xml:space="preserve">рограммами признаны </w:t>
      </w:r>
      <w:r w:rsidR="00125C8E">
        <w:t>1</w:t>
      </w:r>
      <w:r w:rsidR="00DD3059">
        <w:t>3</w:t>
      </w:r>
      <w:r>
        <w:t xml:space="preserve"> Программ</w:t>
      </w:r>
      <w:r w:rsidR="005C7632">
        <w:t xml:space="preserve"> (в 202</w:t>
      </w:r>
      <w:r w:rsidR="00487217">
        <w:t>1</w:t>
      </w:r>
      <w:r w:rsidR="005C7632">
        <w:t xml:space="preserve"> году-1</w:t>
      </w:r>
      <w:r w:rsidR="00487217">
        <w:t>0</w:t>
      </w:r>
      <w:r w:rsidR="005C7632">
        <w:t>)</w:t>
      </w:r>
      <w:r w:rsidR="00B82A6F">
        <w:t>, что составляет</w:t>
      </w:r>
      <w:r w:rsidR="009E333C">
        <w:t xml:space="preserve"> </w:t>
      </w:r>
      <w:r w:rsidR="00DD3059">
        <w:t>81</w:t>
      </w:r>
      <w:r w:rsidR="009E333C" w:rsidRPr="00FA7717">
        <w:t>%</w:t>
      </w:r>
      <w:r w:rsidR="00B82A6F" w:rsidRPr="00FA7717">
        <w:t xml:space="preserve"> </w:t>
      </w:r>
      <w:r w:rsidR="00B82A6F">
        <w:t>от общего количества Программ</w:t>
      </w:r>
      <w:r w:rsidR="009E333C">
        <w:t>.</w:t>
      </w:r>
    </w:p>
    <w:p w:rsidR="00B82A6F" w:rsidRPr="00FA7717" w:rsidRDefault="00B82A6F" w:rsidP="00FA7717">
      <w:pPr>
        <w:pStyle w:val="a3"/>
        <w:ind w:left="0" w:firstLine="709"/>
        <w:jc w:val="both"/>
      </w:pPr>
      <w:r>
        <w:t xml:space="preserve">Эффективными муниципальными </w:t>
      </w:r>
      <w:r w:rsidR="007D577B">
        <w:t>П</w:t>
      </w:r>
      <w:r>
        <w:t xml:space="preserve">рограммами </w:t>
      </w:r>
      <w:proofErr w:type="gramStart"/>
      <w:r>
        <w:t>признаны</w:t>
      </w:r>
      <w:proofErr w:type="gramEnd"/>
      <w:r>
        <w:t xml:space="preserve"> </w:t>
      </w:r>
      <w:r w:rsidR="005C7632">
        <w:t>–</w:t>
      </w:r>
      <w:r w:rsidR="00FA7717">
        <w:t xml:space="preserve"> </w:t>
      </w:r>
      <w:r w:rsidR="00DD3059">
        <w:t>3</w:t>
      </w:r>
      <w:r w:rsidR="005C7632">
        <w:t xml:space="preserve"> (в 202</w:t>
      </w:r>
      <w:r w:rsidR="00DD3059">
        <w:t>1</w:t>
      </w:r>
      <w:r w:rsidR="005C7632">
        <w:t xml:space="preserve"> году -</w:t>
      </w:r>
      <w:r w:rsidR="00DD3059">
        <w:t>2</w:t>
      </w:r>
      <w:r w:rsidR="005C7632">
        <w:t>)</w:t>
      </w:r>
      <w:r w:rsidRPr="00FA7717">
        <w:t xml:space="preserve"> (</w:t>
      </w:r>
      <w:r w:rsidR="00DD3059">
        <w:t>19</w:t>
      </w:r>
      <w:r w:rsidR="009E333C" w:rsidRPr="00FA7717">
        <w:t>%</w:t>
      </w:r>
      <w:r w:rsidR="007B40FD" w:rsidRPr="00FA7717">
        <w:t>)</w:t>
      </w:r>
      <w:r w:rsidR="00FA7717">
        <w:t>.</w:t>
      </w:r>
    </w:p>
    <w:p w:rsidR="00E75603" w:rsidRDefault="007B40FD" w:rsidP="00627F33">
      <w:pPr>
        <w:shd w:val="clear" w:color="auto" w:fill="FFFFFF"/>
        <w:ind w:firstLine="709"/>
        <w:jc w:val="both"/>
      </w:pPr>
      <w:r>
        <w:t>Низкоэффективн</w:t>
      </w:r>
      <w:r w:rsidR="001962F6">
        <w:t>ые</w:t>
      </w:r>
      <w:r w:rsidR="00DD3059">
        <w:t xml:space="preserve"> и неэффективн</w:t>
      </w:r>
      <w:r w:rsidR="001962F6">
        <w:t>ые</w:t>
      </w:r>
      <w:r w:rsidR="00DD3059">
        <w:t xml:space="preserve"> муниципальны</w:t>
      </w:r>
      <w:r w:rsidR="001962F6">
        <w:t>е</w:t>
      </w:r>
      <w:r w:rsidR="00DD3059">
        <w:t xml:space="preserve"> Программ</w:t>
      </w:r>
      <w:r w:rsidR="001962F6">
        <w:t>ы</w:t>
      </w:r>
      <w:r w:rsidR="003700F0">
        <w:t xml:space="preserve"> </w:t>
      </w:r>
      <w:r w:rsidR="00DD3059">
        <w:t xml:space="preserve">в 2022 году </w:t>
      </w:r>
      <w:r w:rsidR="001962F6">
        <w:t>отсутствуют</w:t>
      </w:r>
      <w:r w:rsidR="00DD3059">
        <w:t>.</w:t>
      </w:r>
    </w:p>
    <w:p w:rsidR="00A56196" w:rsidRDefault="00A56196" w:rsidP="00A56196">
      <w:pPr>
        <w:shd w:val="clear" w:color="auto" w:fill="FFFFFF"/>
        <w:ind w:firstLine="709"/>
        <w:jc w:val="both"/>
        <w:rPr>
          <w:color w:val="000000"/>
        </w:rPr>
      </w:pPr>
      <w:r w:rsidRPr="00A56196">
        <w:rPr>
          <w:color w:val="000000"/>
        </w:rPr>
        <w:t>Расчет оценки эффективности реализации каждой подпрограммы,</w:t>
      </w:r>
      <w:r>
        <w:rPr>
          <w:color w:val="000000"/>
        </w:rPr>
        <w:t xml:space="preserve"> </w:t>
      </w:r>
      <w:r w:rsidRPr="00A56196">
        <w:rPr>
          <w:color w:val="000000"/>
        </w:rPr>
        <w:t xml:space="preserve">входящей в состав </w:t>
      </w:r>
      <w:r>
        <w:rPr>
          <w:color w:val="000000"/>
        </w:rPr>
        <w:t xml:space="preserve">муниципальной </w:t>
      </w:r>
      <w:r w:rsidRPr="00A56196">
        <w:rPr>
          <w:color w:val="000000"/>
        </w:rPr>
        <w:t>программы, определяется аналогично</w:t>
      </w:r>
      <w:r>
        <w:rPr>
          <w:color w:val="000000"/>
        </w:rPr>
        <w:t xml:space="preserve"> </w:t>
      </w:r>
      <w:r w:rsidRPr="00A56196">
        <w:rPr>
          <w:color w:val="000000"/>
        </w:rPr>
        <w:t xml:space="preserve">расчету оценки эффективности </w:t>
      </w:r>
      <w:r>
        <w:rPr>
          <w:color w:val="000000"/>
        </w:rPr>
        <w:t>муниципальной</w:t>
      </w:r>
      <w:r w:rsidRPr="00A56196">
        <w:rPr>
          <w:color w:val="000000"/>
        </w:rPr>
        <w:t xml:space="preserve"> </w:t>
      </w:r>
      <w:r w:rsidR="004866B4">
        <w:rPr>
          <w:color w:val="000000"/>
        </w:rPr>
        <w:t>П</w:t>
      </w:r>
      <w:bookmarkStart w:id="0" w:name="_GoBack"/>
      <w:bookmarkEnd w:id="0"/>
      <w:r w:rsidRPr="00A56196">
        <w:rPr>
          <w:color w:val="000000"/>
        </w:rPr>
        <w:t>рограммы.</w:t>
      </w:r>
    </w:p>
    <w:p w:rsidR="00DC70CF" w:rsidRDefault="00DC70CF" w:rsidP="00DC70CF">
      <w:pPr>
        <w:pStyle w:val="a3"/>
        <w:ind w:left="0" w:firstLine="709"/>
        <w:jc w:val="both"/>
      </w:pPr>
      <w:r>
        <w:t xml:space="preserve">По результатам проведенной оценки эффективности высокоэффективными подпрограммами признаны </w:t>
      </w:r>
      <w:r w:rsidRPr="00CE0689">
        <w:t>2</w:t>
      </w:r>
      <w:r w:rsidR="00CE0689" w:rsidRPr="00CE0689">
        <w:t>6</w:t>
      </w:r>
      <w:r w:rsidR="005C7632" w:rsidRPr="00CE0689">
        <w:t xml:space="preserve"> </w:t>
      </w:r>
      <w:r w:rsidR="005C7632">
        <w:t>(в 202</w:t>
      </w:r>
      <w:r w:rsidR="00362C68">
        <w:t>1</w:t>
      </w:r>
      <w:r w:rsidR="005C7632">
        <w:t xml:space="preserve"> году -2</w:t>
      </w:r>
      <w:r w:rsidR="00362C68">
        <w:t>5</w:t>
      </w:r>
      <w:r w:rsidR="005C7632">
        <w:t>)</w:t>
      </w:r>
      <w:r>
        <w:t xml:space="preserve">, что составляет </w:t>
      </w:r>
      <w:r w:rsidR="00CF0E18">
        <w:t>72,2</w:t>
      </w:r>
      <w:r w:rsidRPr="00FA7717">
        <w:t xml:space="preserve">% </w:t>
      </w:r>
      <w:r>
        <w:t>от общего количества подпрограмм.</w:t>
      </w:r>
    </w:p>
    <w:p w:rsidR="00DC70CF" w:rsidRDefault="00DC70CF" w:rsidP="00DC70CF">
      <w:pPr>
        <w:pStyle w:val="a3"/>
        <w:ind w:left="0" w:firstLine="709"/>
        <w:jc w:val="both"/>
      </w:pPr>
      <w:r>
        <w:t xml:space="preserve">Эффективными подпрограммами </w:t>
      </w:r>
      <w:proofErr w:type="gramStart"/>
      <w:r>
        <w:t>признаны</w:t>
      </w:r>
      <w:proofErr w:type="gramEnd"/>
      <w:r>
        <w:t xml:space="preserve"> - </w:t>
      </w:r>
      <w:r w:rsidR="00141134">
        <w:t>5</w:t>
      </w:r>
      <w:r w:rsidRPr="00FA7717">
        <w:t>(</w:t>
      </w:r>
      <w:r w:rsidR="00141134">
        <w:t>13,</w:t>
      </w:r>
      <w:r w:rsidR="00CF0E18">
        <w:t>9</w:t>
      </w:r>
      <w:r w:rsidRPr="00FA7717">
        <w:t>%)</w:t>
      </w:r>
      <w:r>
        <w:t>.</w:t>
      </w:r>
    </w:p>
    <w:p w:rsidR="00DC70CF" w:rsidRDefault="00DC70CF" w:rsidP="00605277">
      <w:pPr>
        <w:pStyle w:val="a3"/>
        <w:ind w:left="0" w:firstLine="709"/>
      </w:pPr>
      <w:r>
        <w:t>Низкоэффективными -</w:t>
      </w:r>
      <w:r w:rsidR="00892487">
        <w:t xml:space="preserve"> </w:t>
      </w:r>
      <w:r w:rsidR="00141134">
        <w:t>5</w:t>
      </w:r>
      <w:r w:rsidR="00892487">
        <w:t xml:space="preserve"> (</w:t>
      </w:r>
      <w:r w:rsidR="00141134">
        <w:t>13,</w:t>
      </w:r>
      <w:r w:rsidR="00CF0E18">
        <w:t>9</w:t>
      </w:r>
      <w:r w:rsidR="00605277">
        <w:t xml:space="preserve"> </w:t>
      </w:r>
      <w:r w:rsidR="00892487">
        <w:t>%),</w:t>
      </w:r>
    </w:p>
    <w:p w:rsidR="00DC70CF" w:rsidRPr="00A56196" w:rsidRDefault="00141134" w:rsidP="00A5619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По одной </w:t>
      </w:r>
      <w:r w:rsidR="000E1953">
        <w:rPr>
          <w:color w:val="000000"/>
        </w:rPr>
        <w:t xml:space="preserve"> подпрограмм</w:t>
      </w:r>
      <w:r>
        <w:rPr>
          <w:color w:val="000000"/>
        </w:rPr>
        <w:t>е</w:t>
      </w:r>
      <w:r w:rsidR="000E1953">
        <w:rPr>
          <w:color w:val="000000"/>
        </w:rPr>
        <w:t xml:space="preserve"> оценка эффективности не проводилась, так как не осуществлялось финансирование в связи с отсутствием в 202</w:t>
      </w:r>
      <w:r>
        <w:rPr>
          <w:color w:val="000000"/>
        </w:rPr>
        <w:t>2</w:t>
      </w:r>
      <w:r w:rsidR="000E1953">
        <w:rPr>
          <w:color w:val="000000"/>
        </w:rPr>
        <w:t xml:space="preserve"> году потребности.</w:t>
      </w:r>
    </w:p>
    <w:p w:rsidR="00FF1090" w:rsidRPr="00A56196" w:rsidRDefault="00F47F02" w:rsidP="00C92DEF">
      <w:pPr>
        <w:ind w:firstLine="709"/>
        <w:jc w:val="both"/>
      </w:pPr>
      <w:r w:rsidRPr="007D577B">
        <w:t xml:space="preserve">Причинами низких оценок по ряду </w:t>
      </w:r>
      <w:r w:rsidR="009825A0">
        <w:t>подпрограмм</w:t>
      </w:r>
      <w:r w:rsidRPr="007D577B">
        <w:t xml:space="preserve">, входящих в состав муниципальных </w:t>
      </w:r>
      <w:r w:rsidR="009575C0">
        <w:t>П</w:t>
      </w:r>
      <w:r w:rsidRPr="007D577B">
        <w:t>рограмм</w:t>
      </w:r>
      <w:r w:rsidR="005641E2" w:rsidRPr="007D577B">
        <w:t xml:space="preserve">, является </w:t>
      </w:r>
      <w:r w:rsidR="009825A0">
        <w:t xml:space="preserve">отсутствие действий исполнителей </w:t>
      </w:r>
      <w:r w:rsidR="009825A0">
        <w:lastRenderedPageBreak/>
        <w:t xml:space="preserve">мероприятий подпрограмм по </w:t>
      </w:r>
      <w:r w:rsidR="00207687" w:rsidRPr="007D577B">
        <w:t>своевременной корректировк</w:t>
      </w:r>
      <w:r w:rsidR="00AC47C3">
        <w:t xml:space="preserve">е </w:t>
      </w:r>
      <w:r w:rsidR="00207687" w:rsidRPr="007D577B">
        <w:t xml:space="preserve"> программных мероприятий.</w:t>
      </w:r>
    </w:p>
    <w:p w:rsidR="00C4053E" w:rsidRDefault="00C4053E" w:rsidP="00C4053E">
      <w:pPr>
        <w:shd w:val="clear" w:color="auto" w:fill="FFFFFF"/>
        <w:ind w:firstLine="709"/>
        <w:jc w:val="both"/>
        <w:rPr>
          <w:color w:val="000000"/>
        </w:rPr>
      </w:pPr>
      <w:r w:rsidRPr="00C4053E">
        <w:rPr>
          <w:color w:val="000000"/>
        </w:rPr>
        <w:t>Однако следует отметить</w:t>
      </w:r>
      <w:r>
        <w:rPr>
          <w:color w:val="000000"/>
        </w:rPr>
        <w:t xml:space="preserve">, что </w:t>
      </w:r>
      <w:r w:rsidRPr="00C4053E">
        <w:rPr>
          <w:color w:val="000000"/>
        </w:rPr>
        <w:t>качество планирования значений целевых показателей улучшилось</w:t>
      </w:r>
      <w:r>
        <w:rPr>
          <w:color w:val="000000"/>
        </w:rPr>
        <w:t xml:space="preserve">, </w:t>
      </w:r>
      <w:r w:rsidR="00713584">
        <w:rPr>
          <w:color w:val="000000"/>
        </w:rPr>
        <w:t>по сравнению с отчетными периодами прошлых лет</w:t>
      </w:r>
      <w:r w:rsidRPr="00C4053E">
        <w:rPr>
          <w:color w:val="000000"/>
        </w:rPr>
        <w:t>.</w:t>
      </w:r>
    </w:p>
    <w:p w:rsidR="00D815F7" w:rsidRDefault="00D815F7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Но, в тоже время по ряду муниципальных Программ </w:t>
      </w:r>
      <w:r w:rsidRPr="00D815F7">
        <w:rPr>
          <w:color w:val="000000"/>
        </w:rPr>
        <w:t>фактически достигнутые значения показателей</w:t>
      </w:r>
      <w:r>
        <w:rPr>
          <w:color w:val="000000"/>
        </w:rPr>
        <w:t xml:space="preserve"> </w:t>
      </w:r>
      <w:r w:rsidRPr="00D815F7">
        <w:rPr>
          <w:color w:val="000000"/>
        </w:rPr>
        <w:t xml:space="preserve">значительно превышают плановый уровень, что </w:t>
      </w:r>
      <w:r w:rsidR="00627F33">
        <w:rPr>
          <w:color w:val="000000"/>
        </w:rPr>
        <w:t>в некоторых</w:t>
      </w:r>
      <w:r w:rsidRPr="00D815F7">
        <w:rPr>
          <w:color w:val="000000"/>
        </w:rPr>
        <w:t xml:space="preserve"> случа</w:t>
      </w:r>
      <w:r w:rsidR="00627F33">
        <w:rPr>
          <w:color w:val="000000"/>
        </w:rPr>
        <w:t>ях</w:t>
      </w:r>
      <w:r w:rsidR="00947214">
        <w:rPr>
          <w:color w:val="000000"/>
        </w:rPr>
        <w:t xml:space="preserve"> указывает на </w:t>
      </w:r>
      <w:r w:rsidR="00947214" w:rsidRPr="00947214">
        <w:rPr>
          <w:color w:val="000000"/>
          <w:shd w:val="clear" w:color="auto" w:fill="FFFFFF"/>
        </w:rPr>
        <w:t>занижение прогнозной оценки значений показателей</w:t>
      </w:r>
      <w:r w:rsidR="00463975">
        <w:rPr>
          <w:color w:val="000000"/>
          <w:shd w:val="clear" w:color="auto" w:fill="FFFFFF"/>
        </w:rPr>
        <w:t>, тем самым не позволяет обеспечить эффективное планирование целевых индикаторов (показателей) Программы и подпрограмм</w:t>
      </w:r>
      <w:r w:rsidR="00947214" w:rsidRPr="00947214">
        <w:rPr>
          <w:color w:val="000000"/>
          <w:shd w:val="clear" w:color="auto" w:fill="FFFFFF"/>
        </w:rPr>
        <w:t>.</w:t>
      </w:r>
    </w:p>
    <w:p w:rsidR="00FC4947" w:rsidRDefault="00FC4947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Можно отметить следующие муниципальные </w:t>
      </w:r>
      <w:r w:rsidR="009D1EC8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рограммы, ряд плановых значений показателей имеют характер занижения</w:t>
      </w:r>
      <w:r w:rsidR="00550FC1">
        <w:rPr>
          <w:color w:val="000000"/>
          <w:shd w:val="clear" w:color="auto" w:fill="FFFFFF"/>
        </w:rPr>
        <w:t xml:space="preserve">: </w:t>
      </w:r>
    </w:p>
    <w:p w:rsidR="009D1EC8" w:rsidRDefault="00550FC1" w:rsidP="009D1EC8">
      <w:pPr>
        <w:shd w:val="clear" w:color="auto" w:fill="FFFFFF"/>
        <w:ind w:firstLine="709"/>
        <w:jc w:val="both"/>
      </w:pPr>
      <w:r>
        <w:t xml:space="preserve">«Обеспечение качественным жильем, услугами </w:t>
      </w:r>
      <w:proofErr w:type="spellStart"/>
      <w:r>
        <w:t>жилищно</w:t>
      </w:r>
      <w:proofErr w:type="spellEnd"/>
      <w:r>
        <w:t xml:space="preserve"> – коммунального хозяйства населения городского округа Кинешма»;</w:t>
      </w:r>
      <w:r w:rsidR="00F658B2">
        <w:t xml:space="preserve"> </w:t>
      </w:r>
      <w:r w:rsidR="009D1EC8">
        <w:t>«Развитие образования городского округа Кинешма»;</w:t>
      </w:r>
      <w:r w:rsidR="009D1EC8" w:rsidRPr="009D1EC8">
        <w:t xml:space="preserve"> </w:t>
      </w:r>
      <w:r w:rsidR="009D1EC8">
        <w:t>«Защита населения и территорий от чрезвычайных ситуаций, обеспечение пожарной безопасности и безопасности людей»; «Реализация социальной и молодежной политики в городском округе Кинешма.</w:t>
      </w:r>
    </w:p>
    <w:p w:rsidR="00AC47C3" w:rsidRDefault="00AC47C3" w:rsidP="00D815F7">
      <w:pPr>
        <w:shd w:val="clear" w:color="auto" w:fill="FFFFFF"/>
        <w:ind w:firstLine="709"/>
        <w:jc w:val="both"/>
      </w:pPr>
      <w:r>
        <w:t>Кроме того, качественное планирование показателей также должно предполагать отсутствие таких показателей</w:t>
      </w:r>
      <w:r w:rsidR="003A536A">
        <w:t>, которые не имеют динамики изменения значений или значения которых на протяжении длительного периода не измен</w:t>
      </w:r>
      <w:r w:rsidR="009575C0">
        <w:t>е</w:t>
      </w:r>
      <w:r w:rsidR="003A536A">
        <w:t>ны</w:t>
      </w:r>
      <w:r w:rsidR="009575C0">
        <w:t>.</w:t>
      </w:r>
    </w:p>
    <w:p w:rsidR="00D851FE" w:rsidRPr="00E148B1" w:rsidRDefault="00E148B1" w:rsidP="00E148B1">
      <w:pPr>
        <w:shd w:val="clear" w:color="auto" w:fill="FFFFFF"/>
        <w:ind w:firstLine="709"/>
        <w:jc w:val="both"/>
      </w:pPr>
      <w:r>
        <w:t>Т</w:t>
      </w:r>
      <w:r w:rsidR="00D851FE">
        <w:t>аки</w:t>
      </w:r>
      <w:r>
        <w:t xml:space="preserve">е показатели присутствуют в следующих муниципальных </w:t>
      </w:r>
      <w:r w:rsidR="00D851FE">
        <w:t xml:space="preserve"> Программа</w:t>
      </w:r>
      <w:r>
        <w:t>х:</w:t>
      </w:r>
      <w:r w:rsidRPr="00E148B1">
        <w:rPr>
          <w:b/>
        </w:rPr>
        <w:t xml:space="preserve"> </w:t>
      </w:r>
      <w:r>
        <w:rPr>
          <w:b/>
        </w:rPr>
        <w:t>«</w:t>
      </w:r>
      <w:r w:rsidRPr="00D851FE">
        <w:t>Поддержка и развитие малого предпринимательства в городском округе Кинешма</w:t>
      </w:r>
      <w:r>
        <w:t>»,</w:t>
      </w:r>
      <w:r w:rsidRPr="00E148B1">
        <w:t xml:space="preserve"> </w:t>
      </w:r>
      <w:r>
        <w:t xml:space="preserve">«Обеспечение качественным жильем, услугами </w:t>
      </w:r>
      <w:proofErr w:type="spellStart"/>
      <w:r>
        <w:t>жилищно</w:t>
      </w:r>
      <w:proofErr w:type="spellEnd"/>
      <w:r>
        <w:t xml:space="preserve"> – коммунального хозяйства населения городского округа Кинешма».</w:t>
      </w:r>
    </w:p>
    <w:p w:rsidR="00394FD5" w:rsidRDefault="00394FD5" w:rsidP="008C47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Следует отметить, что на момент подготовки </w:t>
      </w:r>
      <w:r w:rsidR="008B7592">
        <w:rPr>
          <w:color w:val="000000"/>
        </w:rPr>
        <w:t>годового отчета</w:t>
      </w:r>
      <w:r>
        <w:rPr>
          <w:color w:val="000000"/>
        </w:rPr>
        <w:t xml:space="preserve"> о реализации муниципальных Программ по ряду целевых показателей (индикаторов) представлены предварительные данные. Согласно данным администраторов муниципальных Программ на дату сдачи отчета </w:t>
      </w:r>
      <w:r w:rsidR="008B7592">
        <w:rPr>
          <w:color w:val="000000"/>
        </w:rPr>
        <w:t xml:space="preserve"> статистические данные отсутствуют, так как предусмотрены более поздние сроки предоставления статистической информации.</w:t>
      </w:r>
    </w:p>
    <w:p w:rsidR="008C47E2" w:rsidRPr="00D815F7" w:rsidRDefault="008C47E2" w:rsidP="008C47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8C47E2">
        <w:rPr>
          <w:color w:val="000000"/>
        </w:rPr>
        <w:t>ри расчете степени достижения</w:t>
      </w:r>
      <w:r>
        <w:rPr>
          <w:color w:val="000000"/>
        </w:rPr>
        <w:t xml:space="preserve"> </w:t>
      </w:r>
      <w:r w:rsidRPr="008C47E2">
        <w:rPr>
          <w:color w:val="000000"/>
        </w:rPr>
        <w:t>запланированных значений целевых индикаторов (показателей) в случае</w:t>
      </w:r>
      <w:r>
        <w:rPr>
          <w:color w:val="000000"/>
        </w:rPr>
        <w:t xml:space="preserve"> </w:t>
      </w:r>
      <w:r w:rsidRPr="008C47E2">
        <w:rPr>
          <w:color w:val="000000"/>
        </w:rPr>
        <w:t xml:space="preserve">превышения фактического значения над </w:t>
      </w:r>
      <w:proofErr w:type="gramStart"/>
      <w:r w:rsidRPr="008C47E2">
        <w:rPr>
          <w:color w:val="000000"/>
        </w:rPr>
        <w:t>плановым</w:t>
      </w:r>
      <w:proofErr w:type="gramEnd"/>
      <w:r w:rsidRPr="008C47E2">
        <w:rPr>
          <w:color w:val="000000"/>
        </w:rPr>
        <w:t>, степень достижения</w:t>
      </w:r>
      <w:r>
        <w:rPr>
          <w:color w:val="000000"/>
        </w:rPr>
        <w:t xml:space="preserve"> </w:t>
      </w:r>
      <w:r w:rsidRPr="008C47E2">
        <w:rPr>
          <w:color w:val="000000"/>
        </w:rPr>
        <w:t>значения целевого показателя принималась равной 100%.</w:t>
      </w:r>
    </w:p>
    <w:p w:rsidR="004A56AA" w:rsidRPr="004A56AA" w:rsidRDefault="004A56AA" w:rsidP="004A56AA">
      <w:pPr>
        <w:pStyle w:val="a3"/>
        <w:ind w:left="0" w:firstLine="709"/>
        <w:jc w:val="both"/>
      </w:pPr>
      <w:r w:rsidRPr="004A56AA">
        <w:t>При расчете степени достижения планируемых значений  целевых показателей (индикаторов) Программы (подпрограмм) равные  нулю по плану и по факту принимаются за  единицу.</w:t>
      </w:r>
    </w:p>
    <w:p w:rsidR="00581495" w:rsidRPr="00E148B1" w:rsidRDefault="00E102FC" w:rsidP="00E148B1">
      <w:pPr>
        <w:shd w:val="clear" w:color="auto" w:fill="FFFFFF"/>
        <w:ind w:firstLine="709"/>
        <w:jc w:val="both"/>
        <w:rPr>
          <w:color w:val="000000"/>
        </w:rPr>
      </w:pPr>
      <w:r w:rsidRPr="00E102FC">
        <w:rPr>
          <w:color w:val="000000"/>
        </w:rPr>
        <w:t xml:space="preserve">По итогам оценки эффективности реализации </w:t>
      </w:r>
      <w:r>
        <w:rPr>
          <w:color w:val="000000"/>
        </w:rPr>
        <w:t>муниципальных П</w:t>
      </w:r>
      <w:r w:rsidRPr="00E102FC">
        <w:rPr>
          <w:color w:val="000000"/>
        </w:rPr>
        <w:t>рограмм в 20</w:t>
      </w:r>
      <w:r>
        <w:rPr>
          <w:color w:val="000000"/>
        </w:rPr>
        <w:t>2</w:t>
      </w:r>
      <w:r w:rsidR="00E148B1">
        <w:rPr>
          <w:color w:val="000000"/>
        </w:rPr>
        <w:t>2</w:t>
      </w:r>
      <w:r w:rsidRPr="00E102FC">
        <w:rPr>
          <w:color w:val="000000"/>
        </w:rPr>
        <w:t xml:space="preserve"> году можно отметить, что взаимосвязь целей</w:t>
      </w:r>
      <w:r>
        <w:rPr>
          <w:color w:val="000000"/>
        </w:rPr>
        <w:t xml:space="preserve"> П</w:t>
      </w:r>
      <w:r w:rsidRPr="00E102FC">
        <w:rPr>
          <w:color w:val="000000"/>
        </w:rPr>
        <w:t>рограмм и задач подпрограмм в основном достигнута.</w:t>
      </w:r>
    </w:p>
    <w:tbl>
      <w:tblPr>
        <w:tblStyle w:val="a4"/>
        <w:tblW w:w="10284" w:type="dxa"/>
        <w:jc w:val="center"/>
        <w:tblInd w:w="-448" w:type="dxa"/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2693"/>
        <w:gridCol w:w="3337"/>
      </w:tblGrid>
      <w:tr w:rsidR="00B72084" w:rsidTr="00961B3C">
        <w:trPr>
          <w:tblHeader/>
          <w:jc w:val="center"/>
        </w:trPr>
        <w:tc>
          <w:tcPr>
            <w:tcW w:w="710" w:type="dxa"/>
          </w:tcPr>
          <w:p w:rsidR="00984C2B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lastRenderedPageBreak/>
              <w:t>№</w:t>
            </w:r>
          </w:p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proofErr w:type="gramStart"/>
            <w:r w:rsidRPr="001134EB">
              <w:rPr>
                <w:b/>
                <w:sz w:val="24"/>
                <w:szCs w:val="24"/>
              </w:rPr>
              <w:t>п</w:t>
            </w:r>
            <w:proofErr w:type="gramEnd"/>
            <w:r w:rsidRPr="001134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693" w:type="dxa"/>
          </w:tcPr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Оценка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 эффек</w:t>
            </w:r>
            <w:r w:rsidRPr="00EE5845">
              <w:rPr>
                <w:b/>
                <w:sz w:val="24"/>
                <w:szCs w:val="24"/>
              </w:rPr>
              <w:softHyphen/>
              <w:t xml:space="preserve">тивности реализации 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20</w:t>
            </w:r>
            <w:r w:rsidR="00B97455">
              <w:rPr>
                <w:b/>
                <w:sz w:val="24"/>
                <w:szCs w:val="24"/>
              </w:rPr>
              <w:t>2</w:t>
            </w:r>
            <w:r w:rsidR="008A60AB">
              <w:rPr>
                <w:b/>
                <w:sz w:val="24"/>
                <w:szCs w:val="24"/>
              </w:rPr>
              <w:t>2</w:t>
            </w:r>
            <w:r w:rsidR="00900147">
              <w:rPr>
                <w:b/>
                <w:sz w:val="24"/>
                <w:szCs w:val="24"/>
              </w:rPr>
              <w:t xml:space="preserve"> </w:t>
            </w:r>
            <w:r w:rsidRPr="00EE5845">
              <w:rPr>
                <w:b/>
                <w:sz w:val="24"/>
                <w:szCs w:val="24"/>
              </w:rPr>
              <w:t>году</w:t>
            </w:r>
          </w:p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3337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Предложения о целесообразности продолжения, необходимости  прекращения реализации или об изменении начиная с очередного финансового года ранее утвержденных Программ, в </w:t>
            </w:r>
            <w:proofErr w:type="spellStart"/>
            <w:r w:rsidRPr="00EE5845">
              <w:rPr>
                <w:b/>
                <w:sz w:val="24"/>
                <w:szCs w:val="24"/>
              </w:rPr>
              <w:t>т.ч</w:t>
            </w:r>
            <w:proofErr w:type="spellEnd"/>
            <w:r w:rsidRPr="00EE5845">
              <w:rPr>
                <w:b/>
                <w:sz w:val="24"/>
                <w:szCs w:val="24"/>
              </w:rPr>
              <w:t>. необходимости изменения объема бюджетных ассигнований на финансовое обеспечение реализации Программ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Развитие образования городского округа Кинешма</w:t>
            </w:r>
          </w:p>
          <w:p w:rsidR="00376196" w:rsidRPr="00487217" w:rsidRDefault="00376196" w:rsidP="00B725C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196" w:rsidRPr="00487217" w:rsidRDefault="007E2A89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0,98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7E2A89">
            <w:pPr>
              <w:rPr>
                <w:sz w:val="20"/>
                <w:szCs w:val="20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7E2A89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pStyle w:val="a5"/>
              <w:spacing w:before="40" w:beforeAutospacing="0" w:after="40"/>
            </w:pPr>
            <w:r w:rsidRPr="00487217">
              <w:t>«Дошкольное образование детей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487217" w:rsidRDefault="007E2A89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pStyle w:val="a5"/>
              <w:spacing w:before="40" w:beforeAutospacing="0" w:after="40"/>
            </w:pPr>
            <w:r w:rsidRPr="00487217">
              <w:t>«Общее образование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487217" w:rsidRDefault="007E2A89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1,24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pStyle w:val="a5"/>
              <w:spacing w:before="40" w:beforeAutospacing="0" w:after="40"/>
            </w:pPr>
            <w:r w:rsidRPr="00487217">
              <w:t>«Дополнительное образование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487217" w:rsidRDefault="001F388A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7E2A89" w:rsidRPr="00487217">
              <w:rPr>
                <w:sz w:val="24"/>
                <w:szCs w:val="24"/>
              </w:rPr>
              <w:t>24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pStyle w:val="a5"/>
              <w:spacing w:before="40" w:beforeAutospacing="0" w:after="40"/>
            </w:pPr>
            <w:r w:rsidRPr="00487217">
              <w:t>«Обеспечение деятельности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2693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0,99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pStyle w:val="a5"/>
              <w:spacing w:before="40" w:beforeAutospacing="0" w:after="40"/>
            </w:pPr>
            <w:r w:rsidRPr="00487217">
              <w:t>«Поддержка развития образовательных организаций городского округа Кинешма»</w:t>
            </w:r>
          </w:p>
        </w:tc>
        <w:tc>
          <w:tcPr>
            <w:tcW w:w="2693" w:type="dxa"/>
          </w:tcPr>
          <w:p w:rsidR="00376196" w:rsidRPr="00487217" w:rsidRDefault="007E2A89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1,09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0"/>
                <w:szCs w:val="20"/>
              </w:rPr>
            </w:pPr>
          </w:p>
        </w:tc>
      </w:tr>
      <w:tr w:rsidR="003E7C9E" w:rsidRPr="003E7C9E" w:rsidTr="00961B3C">
        <w:trPr>
          <w:trHeight w:val="781"/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Управление муниципальными финансами  и муниципальным долгом</w:t>
            </w:r>
          </w:p>
        </w:tc>
        <w:tc>
          <w:tcPr>
            <w:tcW w:w="2693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</w:t>
            </w:r>
            <w:r w:rsidR="00B024CA" w:rsidRPr="00487217">
              <w:rPr>
                <w:sz w:val="24"/>
                <w:szCs w:val="24"/>
              </w:rPr>
              <w:t>5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024CA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B024CA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3E7C9E" w:rsidRPr="003E7C9E" w:rsidTr="00961B3C">
        <w:trPr>
          <w:trHeight w:val="1126"/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Обеспечение деятельности муниципальных организаций 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B024CA" w:rsidRPr="00487217">
              <w:rPr>
                <w:sz w:val="24"/>
                <w:szCs w:val="24"/>
              </w:rPr>
              <w:t>25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0"/>
                <w:szCs w:val="20"/>
              </w:rPr>
            </w:pPr>
          </w:p>
        </w:tc>
      </w:tr>
      <w:tr w:rsidR="003E7C9E" w:rsidRPr="003E7C9E" w:rsidTr="00961B3C">
        <w:trPr>
          <w:trHeight w:val="552"/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widowControl w:val="0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693" w:type="dxa"/>
          </w:tcPr>
          <w:p w:rsidR="00376196" w:rsidRPr="00487217" w:rsidRDefault="003E7C9E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B024CA" w:rsidRPr="00487217">
              <w:rPr>
                <w:sz w:val="24"/>
                <w:szCs w:val="24"/>
              </w:rPr>
              <w:t>25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Культура городского округа Кинешма</w:t>
            </w:r>
          </w:p>
        </w:tc>
        <w:tc>
          <w:tcPr>
            <w:tcW w:w="2693" w:type="dxa"/>
          </w:tcPr>
          <w:p w:rsidR="00376196" w:rsidRPr="00487217" w:rsidRDefault="00C21641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</w:t>
            </w:r>
            <w:r w:rsidR="002E72A3" w:rsidRPr="00487217">
              <w:rPr>
                <w:sz w:val="24"/>
                <w:szCs w:val="24"/>
              </w:rPr>
              <w:t>5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2E72A3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2E72A3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Наследие</w:t>
            </w:r>
          </w:p>
        </w:tc>
        <w:tc>
          <w:tcPr>
            <w:tcW w:w="2693" w:type="dxa"/>
          </w:tcPr>
          <w:p w:rsidR="00376196" w:rsidRPr="00487217" w:rsidRDefault="00A338CD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2E72A3" w:rsidRPr="00487217">
              <w:rPr>
                <w:sz w:val="24"/>
                <w:szCs w:val="24"/>
              </w:rPr>
              <w:t>25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Культурно – досуговая деятельность</w:t>
            </w:r>
          </w:p>
        </w:tc>
        <w:tc>
          <w:tcPr>
            <w:tcW w:w="2693" w:type="dxa"/>
          </w:tcPr>
          <w:p w:rsidR="00376196" w:rsidRPr="00487217" w:rsidRDefault="00A338CD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</w:t>
            </w:r>
            <w:r w:rsidR="002E72A3" w:rsidRPr="00487217">
              <w:rPr>
                <w:sz w:val="24"/>
                <w:szCs w:val="24"/>
              </w:rPr>
              <w:t>5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A338CD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rPr>
                <w:b/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 xml:space="preserve">Развитие туризма в городском </w:t>
            </w:r>
            <w:r w:rsidRPr="00487217">
              <w:rPr>
                <w:sz w:val="24"/>
                <w:szCs w:val="24"/>
              </w:rPr>
              <w:lastRenderedPageBreak/>
              <w:t>округе Кинешма</w:t>
            </w:r>
          </w:p>
        </w:tc>
        <w:tc>
          <w:tcPr>
            <w:tcW w:w="2693" w:type="dxa"/>
          </w:tcPr>
          <w:p w:rsidR="00376196" w:rsidRPr="00487217" w:rsidRDefault="00A338CD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lastRenderedPageBreak/>
              <w:t>1,2</w:t>
            </w:r>
            <w:r w:rsidR="002E72A3" w:rsidRPr="00487217">
              <w:rPr>
                <w:sz w:val="24"/>
                <w:szCs w:val="24"/>
              </w:rPr>
              <w:t>5</w:t>
            </w:r>
          </w:p>
          <w:p w:rsidR="00376196" w:rsidRPr="00487217" w:rsidRDefault="00376196" w:rsidP="00A338CD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lastRenderedPageBreak/>
              <w:t>(</w:t>
            </w:r>
            <w:r w:rsidR="00A338CD" w:rsidRPr="00487217">
              <w:rPr>
                <w:sz w:val="24"/>
                <w:szCs w:val="24"/>
              </w:rPr>
              <w:t>высо</w:t>
            </w:r>
            <w:r w:rsidRPr="00487217"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376196" w:rsidRPr="00487217" w:rsidRDefault="002E72A3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0,78</w:t>
            </w:r>
          </w:p>
          <w:p w:rsidR="00376196" w:rsidRPr="00487217" w:rsidRDefault="00376196" w:rsidP="002E72A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2E72A3" w:rsidRPr="00487217">
              <w:rPr>
                <w:sz w:val="24"/>
                <w:szCs w:val="24"/>
              </w:rPr>
              <w:t>низко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</w:p>
        </w:tc>
      </w:tr>
      <w:tr w:rsidR="00182F6F" w:rsidRPr="00182F6F" w:rsidTr="00961B3C">
        <w:trPr>
          <w:trHeight w:val="1401"/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</w:t>
            </w:r>
          </w:p>
        </w:tc>
        <w:tc>
          <w:tcPr>
            <w:tcW w:w="2693" w:type="dxa"/>
          </w:tcPr>
          <w:p w:rsidR="00376196" w:rsidRPr="00487217" w:rsidRDefault="00E63943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487217" w:rsidRDefault="00376196" w:rsidP="00182F6F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182F6F" w:rsidRPr="00487217">
              <w:rPr>
                <w:sz w:val="24"/>
                <w:szCs w:val="24"/>
              </w:rPr>
              <w:t>3</w:t>
            </w:r>
            <w:r w:rsidR="009528A8" w:rsidRPr="00487217">
              <w:rPr>
                <w:sz w:val="24"/>
                <w:szCs w:val="24"/>
              </w:rPr>
              <w:t xml:space="preserve"> </w:t>
            </w:r>
            <w:r w:rsidRPr="00487217">
              <w:rPr>
                <w:sz w:val="24"/>
                <w:szCs w:val="24"/>
              </w:rPr>
              <w:t>году</w:t>
            </w:r>
          </w:p>
        </w:tc>
      </w:tr>
      <w:tr w:rsidR="00182F6F" w:rsidRPr="00182F6F" w:rsidTr="00961B3C">
        <w:trPr>
          <w:trHeight w:val="1120"/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pStyle w:val="a5"/>
              <w:spacing w:before="0" w:after="0"/>
              <w:rPr>
                <w:b/>
              </w:rPr>
            </w:pPr>
            <w:r w:rsidRPr="00487217">
              <w:t>Предупреждение и ликвидация последствий чрезвычайных ситуаций в границах городского округа Кинешма</w:t>
            </w:r>
          </w:p>
        </w:tc>
        <w:tc>
          <w:tcPr>
            <w:tcW w:w="2693" w:type="dxa"/>
          </w:tcPr>
          <w:p w:rsidR="00376196" w:rsidRPr="00487217" w:rsidRDefault="00182F6F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0,89</w:t>
            </w:r>
          </w:p>
          <w:p w:rsidR="00376196" w:rsidRPr="00487217" w:rsidRDefault="00376196" w:rsidP="00182F6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4"/>
                <w:szCs w:val="24"/>
              </w:rPr>
            </w:pPr>
          </w:p>
        </w:tc>
      </w:tr>
      <w:tr w:rsidR="00182F6F" w:rsidRPr="00182F6F" w:rsidTr="00961B3C">
        <w:trPr>
          <w:trHeight w:val="1380"/>
          <w:jc w:val="center"/>
        </w:trPr>
        <w:tc>
          <w:tcPr>
            <w:tcW w:w="710" w:type="dxa"/>
          </w:tcPr>
          <w:p w:rsidR="00376196" w:rsidRPr="00487217" w:rsidRDefault="00376196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376196" w:rsidRPr="00487217" w:rsidRDefault="00376196" w:rsidP="00B725C7">
            <w:pPr>
              <w:pStyle w:val="a5"/>
              <w:spacing w:before="0" w:after="0"/>
            </w:pPr>
            <w:r w:rsidRPr="00487217">
              <w:t xml:space="preserve">Введение и развитие </w:t>
            </w:r>
            <w:proofErr w:type="spellStart"/>
            <w:r w:rsidRPr="00487217">
              <w:t>аппаратно</w:t>
            </w:r>
            <w:proofErr w:type="spellEnd"/>
            <w:r w:rsidRPr="00487217">
              <w:t xml:space="preserve"> – программного комплекса «Безопасный город» на территории городского округа Кинешма»</w:t>
            </w:r>
          </w:p>
        </w:tc>
        <w:tc>
          <w:tcPr>
            <w:tcW w:w="2693" w:type="dxa"/>
          </w:tcPr>
          <w:p w:rsidR="00376196" w:rsidRPr="00487217" w:rsidRDefault="00E63943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182F6F" w:rsidRPr="00487217">
              <w:rPr>
                <w:sz w:val="24"/>
                <w:szCs w:val="24"/>
              </w:rPr>
              <w:t>25</w:t>
            </w:r>
          </w:p>
          <w:p w:rsidR="00376196" w:rsidRPr="00487217" w:rsidRDefault="00376196" w:rsidP="00E6394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E63943" w:rsidRPr="00487217">
              <w:rPr>
                <w:sz w:val="24"/>
                <w:szCs w:val="24"/>
              </w:rPr>
              <w:t>высокоэффективная</w:t>
            </w:r>
            <w:r w:rsidRPr="00487217">
              <w:rPr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376196" w:rsidRPr="00487217" w:rsidRDefault="00376196" w:rsidP="00B725C7">
            <w:pPr>
              <w:rPr>
                <w:sz w:val="20"/>
                <w:szCs w:val="20"/>
              </w:rPr>
            </w:pPr>
          </w:p>
        </w:tc>
      </w:tr>
      <w:tr w:rsidR="00A84A9E" w:rsidRPr="00A84A9E" w:rsidTr="00961B3C">
        <w:trPr>
          <w:trHeight w:val="905"/>
          <w:jc w:val="center"/>
        </w:trPr>
        <w:tc>
          <w:tcPr>
            <w:tcW w:w="710" w:type="dxa"/>
          </w:tcPr>
          <w:p w:rsidR="00404A42" w:rsidRPr="00487217" w:rsidRDefault="00404A42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04A42" w:rsidRPr="00487217" w:rsidRDefault="00404A42" w:rsidP="00B725C7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Управление муниципальным имуществом в городском округе Кинешма</w:t>
            </w:r>
          </w:p>
        </w:tc>
        <w:tc>
          <w:tcPr>
            <w:tcW w:w="2693" w:type="dxa"/>
          </w:tcPr>
          <w:p w:rsidR="00404A42" w:rsidRPr="00487217" w:rsidRDefault="00D21F84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</w:t>
            </w:r>
            <w:r w:rsidR="00A84A9E" w:rsidRPr="00487217">
              <w:rPr>
                <w:sz w:val="24"/>
                <w:szCs w:val="24"/>
              </w:rPr>
              <w:t>2</w:t>
            </w:r>
          </w:p>
          <w:p w:rsidR="00404A42" w:rsidRPr="00487217" w:rsidRDefault="00404A42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125C8E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404A42" w:rsidRPr="00487217" w:rsidRDefault="00404A42" w:rsidP="00A84A9E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A84A9E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A84A9E" w:rsidRPr="00A84A9E" w:rsidTr="00961B3C">
        <w:trPr>
          <w:trHeight w:val="833"/>
          <w:jc w:val="center"/>
        </w:trPr>
        <w:tc>
          <w:tcPr>
            <w:tcW w:w="710" w:type="dxa"/>
          </w:tcPr>
          <w:p w:rsidR="00404A42" w:rsidRPr="00487217" w:rsidRDefault="00404A42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:rsidR="00404A42" w:rsidRPr="00487217" w:rsidRDefault="00404A42" w:rsidP="00B725C7">
            <w:pPr>
              <w:pStyle w:val="a5"/>
              <w:spacing w:before="0" w:beforeAutospacing="0" w:after="0"/>
            </w:pPr>
            <w:r w:rsidRPr="00487217">
              <w:t>«Обеспечение деятельности КИЗО администрации городского округа Кинешма»</w:t>
            </w:r>
          </w:p>
        </w:tc>
        <w:tc>
          <w:tcPr>
            <w:tcW w:w="2693" w:type="dxa"/>
          </w:tcPr>
          <w:p w:rsidR="00404A42" w:rsidRPr="00487217" w:rsidRDefault="00404A42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</w:t>
            </w:r>
            <w:r w:rsidR="00A84A9E" w:rsidRPr="00487217">
              <w:rPr>
                <w:sz w:val="24"/>
                <w:szCs w:val="24"/>
              </w:rPr>
              <w:t>99</w:t>
            </w:r>
          </w:p>
          <w:p w:rsidR="00404A42" w:rsidRPr="00487217" w:rsidRDefault="00404A42" w:rsidP="00D21F84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A84A9E" w:rsidRPr="00487217">
              <w:rPr>
                <w:sz w:val="24"/>
                <w:szCs w:val="24"/>
              </w:rPr>
              <w:t>высоко</w:t>
            </w:r>
            <w:r w:rsidR="00D21F84" w:rsidRPr="00487217">
              <w:rPr>
                <w:sz w:val="24"/>
                <w:szCs w:val="24"/>
              </w:rPr>
              <w:t>э</w:t>
            </w:r>
            <w:r w:rsidRPr="00487217">
              <w:rPr>
                <w:sz w:val="24"/>
                <w:szCs w:val="24"/>
              </w:rPr>
              <w:t>ффективная)</w:t>
            </w:r>
          </w:p>
        </w:tc>
        <w:tc>
          <w:tcPr>
            <w:tcW w:w="3337" w:type="dxa"/>
          </w:tcPr>
          <w:p w:rsidR="00404A42" w:rsidRPr="00487217" w:rsidRDefault="00404A42" w:rsidP="00B725C7">
            <w:pPr>
              <w:rPr>
                <w:sz w:val="20"/>
                <w:szCs w:val="20"/>
              </w:rPr>
            </w:pPr>
          </w:p>
        </w:tc>
      </w:tr>
      <w:tr w:rsidR="00A84A9E" w:rsidRPr="00A84A9E" w:rsidTr="00961B3C">
        <w:trPr>
          <w:jc w:val="center"/>
        </w:trPr>
        <w:tc>
          <w:tcPr>
            <w:tcW w:w="710" w:type="dxa"/>
          </w:tcPr>
          <w:p w:rsidR="00404A42" w:rsidRPr="00487217" w:rsidRDefault="00404A42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5.2</w:t>
            </w:r>
          </w:p>
        </w:tc>
        <w:tc>
          <w:tcPr>
            <w:tcW w:w="3544" w:type="dxa"/>
          </w:tcPr>
          <w:p w:rsidR="00404A42" w:rsidRPr="00487217" w:rsidRDefault="00404A42" w:rsidP="00B725C7">
            <w:pPr>
              <w:rPr>
                <w:b/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2693" w:type="dxa"/>
          </w:tcPr>
          <w:p w:rsidR="00404A42" w:rsidRPr="00487217" w:rsidRDefault="009118F4" w:rsidP="00B725C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0,8</w:t>
            </w:r>
            <w:r w:rsidR="00A84A9E" w:rsidRPr="00487217">
              <w:rPr>
                <w:sz w:val="24"/>
                <w:szCs w:val="24"/>
              </w:rPr>
              <w:t>3</w:t>
            </w:r>
          </w:p>
          <w:p w:rsidR="00404A42" w:rsidRPr="00487217" w:rsidRDefault="00404A42" w:rsidP="009118F4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404A42" w:rsidRPr="00487217" w:rsidRDefault="00404A42" w:rsidP="00827A68">
            <w:pPr>
              <w:rPr>
                <w:sz w:val="20"/>
                <w:szCs w:val="20"/>
              </w:rPr>
            </w:pPr>
          </w:p>
        </w:tc>
      </w:tr>
      <w:tr w:rsidR="00A84A9E" w:rsidRPr="00A84A9E" w:rsidTr="00961B3C">
        <w:trPr>
          <w:jc w:val="center"/>
        </w:trPr>
        <w:tc>
          <w:tcPr>
            <w:tcW w:w="710" w:type="dxa"/>
          </w:tcPr>
          <w:p w:rsidR="00D21F84" w:rsidRPr="00487217" w:rsidRDefault="00D21F84" w:rsidP="00D21F84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5.3</w:t>
            </w:r>
          </w:p>
        </w:tc>
        <w:tc>
          <w:tcPr>
            <w:tcW w:w="3544" w:type="dxa"/>
          </w:tcPr>
          <w:p w:rsidR="00D21F84" w:rsidRPr="00487217" w:rsidRDefault="00D21F84" w:rsidP="002325A6">
            <w:pPr>
              <w:pStyle w:val="a5"/>
              <w:spacing w:before="0" w:after="0"/>
            </w:pPr>
            <w:r w:rsidRPr="00487217">
              <w:t>«Совершенствование распоряжения муниципальным имуществом городского округа Кинешма по оказанию имущественной поддержки субъектам малого и среднего предпринимательства»</w:t>
            </w:r>
          </w:p>
        </w:tc>
        <w:tc>
          <w:tcPr>
            <w:tcW w:w="2693" w:type="dxa"/>
          </w:tcPr>
          <w:p w:rsidR="00D21F84" w:rsidRPr="00487217" w:rsidRDefault="00BF495B" w:rsidP="002325A6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D21F84" w:rsidRPr="00487217" w:rsidRDefault="00BF495B" w:rsidP="00A84A9E">
            <w:pPr>
              <w:rPr>
                <w:sz w:val="22"/>
                <w:szCs w:val="22"/>
              </w:rPr>
            </w:pPr>
            <w:r w:rsidRPr="00487217">
              <w:rPr>
                <w:sz w:val="22"/>
                <w:szCs w:val="22"/>
              </w:rPr>
              <w:t>подпрограмма в 202</w:t>
            </w:r>
            <w:r w:rsidR="00A84A9E" w:rsidRPr="00487217">
              <w:rPr>
                <w:sz w:val="22"/>
                <w:szCs w:val="22"/>
              </w:rPr>
              <w:t>2</w:t>
            </w:r>
            <w:r w:rsidRPr="00487217">
              <w:rPr>
                <w:sz w:val="22"/>
                <w:szCs w:val="22"/>
              </w:rPr>
              <w:t xml:space="preserve"> году не финансировалась</w:t>
            </w:r>
          </w:p>
        </w:tc>
      </w:tr>
      <w:tr w:rsidR="00457D0D" w:rsidRPr="00457D0D" w:rsidTr="00961B3C">
        <w:trPr>
          <w:jc w:val="center"/>
        </w:trPr>
        <w:tc>
          <w:tcPr>
            <w:tcW w:w="710" w:type="dxa"/>
          </w:tcPr>
          <w:p w:rsidR="00471525" w:rsidRPr="00487217" w:rsidRDefault="00471525" w:rsidP="002325A6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71525" w:rsidRPr="00487217" w:rsidRDefault="00471525" w:rsidP="002325A6">
            <w:pPr>
              <w:pStyle w:val="a5"/>
              <w:spacing w:before="0" w:after="0"/>
              <w:rPr>
                <w:b/>
              </w:rPr>
            </w:pPr>
            <w:r w:rsidRPr="00487217">
              <w:rPr>
                <w:b/>
              </w:rPr>
              <w:t>Поддержка и развитие малого предпринимательства в городском округе Кинешма</w:t>
            </w:r>
          </w:p>
        </w:tc>
        <w:tc>
          <w:tcPr>
            <w:tcW w:w="2693" w:type="dxa"/>
          </w:tcPr>
          <w:p w:rsidR="00471525" w:rsidRPr="00487217" w:rsidRDefault="005E3EB7" w:rsidP="002325A6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0,94</w:t>
            </w:r>
          </w:p>
          <w:p w:rsidR="00471525" w:rsidRPr="00487217" w:rsidRDefault="00471525" w:rsidP="005E3EB7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471525" w:rsidRPr="00487217" w:rsidRDefault="00471525" w:rsidP="005E3EB7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5E3EB7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2F5693" w:rsidRPr="002F5693" w:rsidTr="00961B3C">
        <w:trPr>
          <w:trHeight w:val="663"/>
          <w:jc w:val="center"/>
        </w:trPr>
        <w:tc>
          <w:tcPr>
            <w:tcW w:w="710" w:type="dxa"/>
          </w:tcPr>
          <w:p w:rsidR="00AB40C8" w:rsidRPr="00487217" w:rsidRDefault="00AB40C8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B40C8" w:rsidRPr="00487217" w:rsidRDefault="00AB40C8" w:rsidP="0093064F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Совершенствование местного самоуправления городского округа Кинешма</w:t>
            </w:r>
          </w:p>
        </w:tc>
        <w:tc>
          <w:tcPr>
            <w:tcW w:w="2693" w:type="dxa"/>
          </w:tcPr>
          <w:p w:rsidR="00AB40C8" w:rsidRPr="00487217" w:rsidRDefault="003C4FA0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0,99</w:t>
            </w:r>
          </w:p>
          <w:p w:rsidR="00AB40C8" w:rsidRPr="00487217" w:rsidRDefault="00AB40C8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487217" w:rsidRDefault="00AB40C8" w:rsidP="003C4FA0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3C4FA0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2F5693" w:rsidRPr="002F5693" w:rsidTr="00961B3C">
        <w:trPr>
          <w:trHeight w:val="663"/>
          <w:jc w:val="center"/>
        </w:trPr>
        <w:tc>
          <w:tcPr>
            <w:tcW w:w="710" w:type="dxa"/>
          </w:tcPr>
          <w:p w:rsidR="00AB40C8" w:rsidRPr="00487217" w:rsidRDefault="00AB40C8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3544" w:type="dxa"/>
          </w:tcPr>
          <w:p w:rsidR="00AB40C8" w:rsidRPr="00487217" w:rsidRDefault="00AB40C8" w:rsidP="0093064F">
            <w:pPr>
              <w:pStyle w:val="a5"/>
              <w:spacing w:before="0" w:beforeAutospacing="0" w:after="0"/>
            </w:pPr>
            <w:r w:rsidRPr="00487217">
              <w:t>Обеспечение органов местного самоуправления городского округа Кинешма</w:t>
            </w:r>
          </w:p>
        </w:tc>
        <w:tc>
          <w:tcPr>
            <w:tcW w:w="2693" w:type="dxa"/>
          </w:tcPr>
          <w:p w:rsidR="00AB40C8" w:rsidRPr="00487217" w:rsidRDefault="003C4FA0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0,99</w:t>
            </w:r>
          </w:p>
          <w:p w:rsidR="00AB40C8" w:rsidRPr="00487217" w:rsidRDefault="00AB40C8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487217" w:rsidRDefault="00AB40C8" w:rsidP="0093064F">
            <w:pPr>
              <w:rPr>
                <w:sz w:val="20"/>
                <w:szCs w:val="20"/>
              </w:rPr>
            </w:pPr>
          </w:p>
        </w:tc>
      </w:tr>
      <w:tr w:rsidR="003C4FA0" w:rsidRPr="003C4FA0" w:rsidTr="00961B3C">
        <w:trPr>
          <w:trHeight w:val="663"/>
          <w:jc w:val="center"/>
        </w:trPr>
        <w:tc>
          <w:tcPr>
            <w:tcW w:w="710" w:type="dxa"/>
          </w:tcPr>
          <w:p w:rsidR="00AB40C8" w:rsidRPr="00487217" w:rsidRDefault="00AB40C8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7.2</w:t>
            </w:r>
          </w:p>
        </w:tc>
        <w:tc>
          <w:tcPr>
            <w:tcW w:w="3544" w:type="dxa"/>
          </w:tcPr>
          <w:p w:rsidR="00AB40C8" w:rsidRPr="00487217" w:rsidRDefault="00AB40C8" w:rsidP="0093064F">
            <w:pPr>
              <w:pStyle w:val="a5"/>
              <w:spacing w:before="0" w:beforeAutospacing="0" w:after="0"/>
            </w:pPr>
            <w:r w:rsidRPr="00487217">
              <w:t>Развитие институтов гражданского общества</w:t>
            </w:r>
          </w:p>
        </w:tc>
        <w:tc>
          <w:tcPr>
            <w:tcW w:w="2693" w:type="dxa"/>
          </w:tcPr>
          <w:p w:rsidR="00AB40C8" w:rsidRPr="00487217" w:rsidRDefault="002F5693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AB40C8" w:rsidRPr="00487217" w:rsidRDefault="00AB40C8" w:rsidP="009306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487217" w:rsidRDefault="00AB40C8" w:rsidP="0093064F">
            <w:pPr>
              <w:rPr>
                <w:sz w:val="20"/>
                <w:szCs w:val="20"/>
              </w:rPr>
            </w:pPr>
          </w:p>
        </w:tc>
      </w:tr>
      <w:tr w:rsidR="005F0F08" w:rsidRPr="005F0F08" w:rsidTr="00961B3C">
        <w:trPr>
          <w:trHeight w:val="905"/>
          <w:jc w:val="center"/>
        </w:trPr>
        <w:tc>
          <w:tcPr>
            <w:tcW w:w="710" w:type="dxa"/>
          </w:tcPr>
          <w:p w:rsidR="00A36A2E" w:rsidRPr="00487217" w:rsidRDefault="00A36A2E" w:rsidP="00346774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36A2E" w:rsidRPr="00487217" w:rsidRDefault="00A36A2E" w:rsidP="00346774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93" w:type="dxa"/>
          </w:tcPr>
          <w:p w:rsidR="00A36A2E" w:rsidRPr="00487217" w:rsidRDefault="005F0F08" w:rsidP="00346774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A36A2E" w:rsidRPr="00487217" w:rsidRDefault="00A36A2E" w:rsidP="005F0F08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5F0F08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A36A2E" w:rsidRPr="00487217" w:rsidRDefault="005F0F08" w:rsidP="005F0F08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2023 году</w:t>
            </w: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487217" w:rsidRDefault="006B67A9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B67A9" w:rsidRPr="00487217" w:rsidRDefault="006B67A9" w:rsidP="00FF0713">
            <w:r w:rsidRPr="00487217">
              <w:rPr>
                <w:b/>
                <w:sz w:val="24"/>
                <w:szCs w:val="24"/>
              </w:rPr>
              <w:t xml:space="preserve">Обеспечение качественным жильем, услугами </w:t>
            </w:r>
            <w:proofErr w:type="spellStart"/>
            <w:r w:rsidRPr="00487217">
              <w:rPr>
                <w:b/>
                <w:sz w:val="24"/>
                <w:szCs w:val="24"/>
              </w:rPr>
              <w:t>жилищно</w:t>
            </w:r>
            <w:proofErr w:type="spellEnd"/>
            <w:r w:rsidRPr="00487217">
              <w:rPr>
                <w:b/>
                <w:sz w:val="24"/>
                <w:szCs w:val="24"/>
              </w:rPr>
              <w:t xml:space="preserve"> – коммунального хозяйства населения городского округа Кинешма</w:t>
            </w:r>
          </w:p>
        </w:tc>
        <w:tc>
          <w:tcPr>
            <w:tcW w:w="2693" w:type="dxa"/>
          </w:tcPr>
          <w:p w:rsidR="006B67A9" w:rsidRPr="00487217" w:rsidRDefault="003A0AE6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1,12</w:t>
            </w:r>
          </w:p>
          <w:p w:rsidR="006B67A9" w:rsidRPr="00487217" w:rsidRDefault="006B67A9" w:rsidP="003A0AE6">
            <w:pPr>
              <w:jc w:val="center"/>
              <w:rPr>
                <w:sz w:val="20"/>
                <w:szCs w:val="20"/>
              </w:rPr>
            </w:pPr>
            <w:r w:rsidRPr="00487217">
              <w:rPr>
                <w:sz w:val="24"/>
                <w:szCs w:val="24"/>
              </w:rPr>
              <w:t>(</w:t>
            </w:r>
            <w:r w:rsidR="003A0AE6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6B67A9" w:rsidRPr="00487217" w:rsidRDefault="006B67A9" w:rsidP="003A0AE6">
            <w:pPr>
              <w:rPr>
                <w:sz w:val="20"/>
                <w:szCs w:val="20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3A0AE6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487217" w:rsidRDefault="006B67A9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9.1</w:t>
            </w:r>
          </w:p>
        </w:tc>
        <w:tc>
          <w:tcPr>
            <w:tcW w:w="3544" w:type="dxa"/>
          </w:tcPr>
          <w:p w:rsidR="006B67A9" w:rsidRPr="00487217" w:rsidRDefault="006B67A9" w:rsidP="00FF0713">
            <w:pPr>
              <w:pStyle w:val="a5"/>
              <w:spacing w:before="0" w:after="0"/>
              <w:rPr>
                <w:b/>
              </w:rPr>
            </w:pPr>
            <w:r w:rsidRPr="00487217">
              <w:t>Жилище</w:t>
            </w:r>
          </w:p>
        </w:tc>
        <w:tc>
          <w:tcPr>
            <w:tcW w:w="2693" w:type="dxa"/>
          </w:tcPr>
          <w:p w:rsidR="006B67A9" w:rsidRPr="00487217" w:rsidRDefault="00FD7CAE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</w:t>
            </w:r>
            <w:r w:rsidR="002E6501" w:rsidRPr="00487217">
              <w:rPr>
                <w:sz w:val="24"/>
                <w:szCs w:val="24"/>
              </w:rPr>
              <w:t>9</w:t>
            </w:r>
            <w:r w:rsidR="00624A88">
              <w:rPr>
                <w:sz w:val="24"/>
                <w:szCs w:val="24"/>
              </w:rPr>
              <w:t>6</w:t>
            </w:r>
          </w:p>
          <w:p w:rsidR="006B67A9" w:rsidRPr="00487217" w:rsidRDefault="006B67A9" w:rsidP="00FD7CA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3A0AE6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6B67A9" w:rsidRPr="00487217" w:rsidRDefault="006B67A9" w:rsidP="00FF0713">
            <w:pPr>
              <w:rPr>
                <w:sz w:val="24"/>
                <w:szCs w:val="24"/>
              </w:rPr>
            </w:pP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487217" w:rsidRDefault="006B67A9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9.2</w:t>
            </w:r>
          </w:p>
        </w:tc>
        <w:tc>
          <w:tcPr>
            <w:tcW w:w="3544" w:type="dxa"/>
          </w:tcPr>
          <w:p w:rsidR="006B67A9" w:rsidRPr="00487217" w:rsidRDefault="006B67A9" w:rsidP="00FF0713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2693" w:type="dxa"/>
          </w:tcPr>
          <w:p w:rsidR="006B67A9" w:rsidRPr="00487217" w:rsidRDefault="003A0AE6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0,81</w:t>
            </w:r>
          </w:p>
          <w:p w:rsidR="006B67A9" w:rsidRPr="00487217" w:rsidRDefault="006B67A9" w:rsidP="003A0AE6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6B67A9" w:rsidRPr="00487217" w:rsidRDefault="006B67A9" w:rsidP="00FF0713">
            <w:pPr>
              <w:rPr>
                <w:sz w:val="24"/>
                <w:szCs w:val="24"/>
              </w:rPr>
            </w:pP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487217" w:rsidRDefault="006B67A9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9.3</w:t>
            </w:r>
          </w:p>
        </w:tc>
        <w:tc>
          <w:tcPr>
            <w:tcW w:w="3544" w:type="dxa"/>
          </w:tcPr>
          <w:p w:rsidR="006B67A9" w:rsidRPr="00487217" w:rsidRDefault="006B67A9" w:rsidP="00FF0713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Развитие инженерных инфраструктур</w:t>
            </w:r>
          </w:p>
        </w:tc>
        <w:tc>
          <w:tcPr>
            <w:tcW w:w="2693" w:type="dxa"/>
          </w:tcPr>
          <w:p w:rsidR="006B67A9" w:rsidRPr="00487217" w:rsidRDefault="00FD7CAE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0,7</w:t>
            </w:r>
            <w:r w:rsidR="00C03696" w:rsidRPr="00487217">
              <w:rPr>
                <w:sz w:val="24"/>
                <w:szCs w:val="24"/>
              </w:rPr>
              <w:t>8</w:t>
            </w:r>
          </w:p>
          <w:p w:rsidR="006B67A9" w:rsidRPr="00487217" w:rsidRDefault="006B67A9" w:rsidP="00FD7CA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FD7CAE" w:rsidRPr="00487217">
              <w:rPr>
                <w:sz w:val="24"/>
                <w:szCs w:val="24"/>
              </w:rPr>
              <w:t>низк</w:t>
            </w:r>
            <w:r w:rsidRPr="00487217">
              <w:rPr>
                <w:sz w:val="24"/>
                <w:szCs w:val="24"/>
              </w:rPr>
              <w:t>оэффективная)</w:t>
            </w:r>
          </w:p>
        </w:tc>
        <w:tc>
          <w:tcPr>
            <w:tcW w:w="3337" w:type="dxa"/>
          </w:tcPr>
          <w:p w:rsidR="006B67A9" w:rsidRPr="00487217" w:rsidRDefault="006B67A9" w:rsidP="00FF0713">
            <w:pPr>
              <w:rPr>
                <w:sz w:val="24"/>
                <w:szCs w:val="24"/>
              </w:rPr>
            </w:pP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487217" w:rsidRDefault="006B67A9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9.4</w:t>
            </w:r>
          </w:p>
        </w:tc>
        <w:tc>
          <w:tcPr>
            <w:tcW w:w="3544" w:type="dxa"/>
          </w:tcPr>
          <w:p w:rsidR="006B67A9" w:rsidRPr="00487217" w:rsidRDefault="006B67A9" w:rsidP="00FF0713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Обеспечение жильем молодых семей городского округа Кинешма</w:t>
            </w:r>
          </w:p>
        </w:tc>
        <w:tc>
          <w:tcPr>
            <w:tcW w:w="2693" w:type="dxa"/>
          </w:tcPr>
          <w:p w:rsidR="006B67A9" w:rsidRPr="00487217" w:rsidRDefault="00FD7CAE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6B67A9" w:rsidRPr="00487217" w:rsidRDefault="006B67A9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6B67A9" w:rsidRPr="00487217" w:rsidRDefault="006B67A9" w:rsidP="00FF0713">
            <w:pPr>
              <w:rPr>
                <w:sz w:val="24"/>
                <w:szCs w:val="24"/>
              </w:rPr>
            </w:pP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487217" w:rsidRDefault="006B67A9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9.5</w:t>
            </w:r>
          </w:p>
        </w:tc>
        <w:tc>
          <w:tcPr>
            <w:tcW w:w="3544" w:type="dxa"/>
          </w:tcPr>
          <w:p w:rsidR="006B67A9" w:rsidRPr="00487217" w:rsidRDefault="006B67A9" w:rsidP="00FF0713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693" w:type="dxa"/>
          </w:tcPr>
          <w:p w:rsidR="006B67A9" w:rsidRPr="00487217" w:rsidRDefault="003A0AE6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0,97</w:t>
            </w:r>
          </w:p>
          <w:p w:rsidR="006B67A9" w:rsidRPr="00487217" w:rsidRDefault="006B67A9" w:rsidP="003A0AE6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3A0AE6" w:rsidRPr="00487217">
              <w:rPr>
                <w:sz w:val="24"/>
                <w:szCs w:val="24"/>
              </w:rPr>
              <w:t>высоко</w:t>
            </w:r>
            <w:r w:rsidR="00FD7CAE" w:rsidRPr="00487217">
              <w:rPr>
                <w:sz w:val="24"/>
                <w:szCs w:val="24"/>
              </w:rPr>
              <w:t>эффективная</w:t>
            </w:r>
            <w:r w:rsidRPr="00487217">
              <w:rPr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6B67A9" w:rsidRPr="00487217" w:rsidRDefault="006B67A9" w:rsidP="00FF0713">
            <w:pPr>
              <w:rPr>
                <w:sz w:val="20"/>
                <w:szCs w:val="20"/>
              </w:rPr>
            </w:pPr>
          </w:p>
        </w:tc>
      </w:tr>
      <w:tr w:rsidR="00CF1204" w:rsidRPr="00C3048A" w:rsidTr="00961B3C">
        <w:trPr>
          <w:trHeight w:val="773"/>
          <w:jc w:val="center"/>
        </w:trPr>
        <w:tc>
          <w:tcPr>
            <w:tcW w:w="710" w:type="dxa"/>
          </w:tcPr>
          <w:p w:rsidR="00CF1204" w:rsidRPr="00E9443C" w:rsidRDefault="00CF1204" w:rsidP="00F968CD">
            <w:pPr>
              <w:jc w:val="center"/>
              <w:rPr>
                <w:sz w:val="24"/>
                <w:szCs w:val="24"/>
              </w:rPr>
            </w:pPr>
            <w:r w:rsidRPr="00E9443C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84C2B" w:rsidRPr="00E9443C" w:rsidRDefault="00CF1204" w:rsidP="00F968CD">
            <w:pPr>
              <w:rPr>
                <w:b/>
                <w:sz w:val="24"/>
                <w:szCs w:val="24"/>
              </w:rPr>
            </w:pPr>
            <w:r w:rsidRPr="00E9443C">
              <w:rPr>
                <w:b/>
                <w:sz w:val="24"/>
                <w:szCs w:val="24"/>
              </w:rPr>
              <w:t>Формирование современной городской среды на территории муниципального образования «Городской округ Кинешма на 2018-20</w:t>
            </w:r>
            <w:r w:rsidR="00527631" w:rsidRPr="00E9443C">
              <w:rPr>
                <w:b/>
                <w:sz w:val="24"/>
                <w:szCs w:val="24"/>
              </w:rPr>
              <w:t>24</w:t>
            </w:r>
          </w:p>
          <w:p w:rsidR="00CF1204" w:rsidRPr="00E9443C" w:rsidRDefault="00CF1204" w:rsidP="00F968CD">
            <w:pPr>
              <w:rPr>
                <w:b/>
                <w:sz w:val="24"/>
                <w:szCs w:val="24"/>
              </w:rPr>
            </w:pPr>
            <w:r w:rsidRPr="00E9443C">
              <w:rPr>
                <w:b/>
                <w:sz w:val="24"/>
                <w:szCs w:val="24"/>
              </w:rPr>
              <w:t>годы»</w:t>
            </w:r>
          </w:p>
        </w:tc>
        <w:tc>
          <w:tcPr>
            <w:tcW w:w="2693" w:type="dxa"/>
          </w:tcPr>
          <w:p w:rsidR="00CF1204" w:rsidRPr="00E9443C" w:rsidRDefault="00EA2366" w:rsidP="00F9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  <w:p w:rsidR="00CF1204" w:rsidRPr="00E9443C" w:rsidRDefault="00CF1204" w:rsidP="00FB64C3">
            <w:pPr>
              <w:jc w:val="center"/>
              <w:rPr>
                <w:sz w:val="24"/>
                <w:szCs w:val="24"/>
              </w:rPr>
            </w:pPr>
            <w:r w:rsidRPr="00E9443C">
              <w:rPr>
                <w:sz w:val="24"/>
                <w:szCs w:val="24"/>
              </w:rPr>
              <w:t>(</w:t>
            </w:r>
            <w:r w:rsidR="00EA2366">
              <w:rPr>
                <w:sz w:val="24"/>
                <w:szCs w:val="24"/>
              </w:rPr>
              <w:t>высоко</w:t>
            </w:r>
            <w:r w:rsidRPr="00E9443C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CF1204" w:rsidRPr="00E9443C" w:rsidRDefault="00AA2507" w:rsidP="00EA2366">
            <w:pPr>
              <w:rPr>
                <w:sz w:val="22"/>
                <w:szCs w:val="22"/>
              </w:rPr>
            </w:pPr>
            <w:r w:rsidRPr="00E9443C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EA2366">
              <w:rPr>
                <w:sz w:val="24"/>
                <w:szCs w:val="24"/>
              </w:rPr>
              <w:t>3</w:t>
            </w:r>
            <w:r w:rsidRPr="00E9443C">
              <w:rPr>
                <w:sz w:val="24"/>
                <w:szCs w:val="24"/>
              </w:rPr>
              <w:t xml:space="preserve"> году</w:t>
            </w:r>
            <w:r w:rsidRPr="00E9443C">
              <w:rPr>
                <w:sz w:val="20"/>
                <w:szCs w:val="20"/>
              </w:rPr>
              <w:t xml:space="preserve"> </w:t>
            </w:r>
          </w:p>
        </w:tc>
      </w:tr>
      <w:tr w:rsidR="00CF1204" w:rsidRPr="00C3048A" w:rsidTr="00961B3C">
        <w:trPr>
          <w:trHeight w:val="773"/>
          <w:jc w:val="center"/>
        </w:trPr>
        <w:tc>
          <w:tcPr>
            <w:tcW w:w="710" w:type="dxa"/>
          </w:tcPr>
          <w:p w:rsidR="00CF1204" w:rsidRPr="00E9443C" w:rsidRDefault="00CF1204" w:rsidP="00F968CD">
            <w:pPr>
              <w:jc w:val="center"/>
              <w:rPr>
                <w:sz w:val="24"/>
                <w:szCs w:val="24"/>
              </w:rPr>
            </w:pPr>
            <w:r w:rsidRPr="00E9443C">
              <w:rPr>
                <w:sz w:val="24"/>
                <w:szCs w:val="24"/>
              </w:rPr>
              <w:t>10.1</w:t>
            </w:r>
          </w:p>
        </w:tc>
        <w:tc>
          <w:tcPr>
            <w:tcW w:w="3544" w:type="dxa"/>
          </w:tcPr>
          <w:p w:rsidR="00CF1204" w:rsidRPr="00E9443C" w:rsidRDefault="00CF1204" w:rsidP="00F968CD">
            <w:pPr>
              <w:rPr>
                <w:sz w:val="24"/>
                <w:szCs w:val="24"/>
              </w:rPr>
            </w:pPr>
            <w:r w:rsidRPr="00E9443C">
              <w:rPr>
                <w:sz w:val="24"/>
                <w:szCs w:val="24"/>
              </w:rPr>
              <w:t>Благоустройство дворовых и общественных территорий муниципального образования городской округ Кинешма</w:t>
            </w:r>
          </w:p>
        </w:tc>
        <w:tc>
          <w:tcPr>
            <w:tcW w:w="2693" w:type="dxa"/>
          </w:tcPr>
          <w:p w:rsidR="00CF1204" w:rsidRPr="00E9443C" w:rsidRDefault="00CF1204" w:rsidP="00F968CD">
            <w:pPr>
              <w:jc w:val="center"/>
              <w:rPr>
                <w:sz w:val="24"/>
                <w:szCs w:val="24"/>
              </w:rPr>
            </w:pPr>
            <w:r w:rsidRPr="00E9443C">
              <w:rPr>
                <w:sz w:val="24"/>
                <w:szCs w:val="24"/>
              </w:rPr>
              <w:t>0,</w:t>
            </w:r>
            <w:r w:rsidR="00FB64C3" w:rsidRPr="00E9443C">
              <w:rPr>
                <w:sz w:val="24"/>
                <w:szCs w:val="24"/>
              </w:rPr>
              <w:t>8</w:t>
            </w:r>
            <w:r w:rsidR="00EA2366">
              <w:rPr>
                <w:sz w:val="24"/>
                <w:szCs w:val="24"/>
              </w:rPr>
              <w:t>8</w:t>
            </w:r>
          </w:p>
          <w:p w:rsidR="00CF1204" w:rsidRPr="00E9443C" w:rsidRDefault="00CF1204" w:rsidP="00D242DC">
            <w:pPr>
              <w:jc w:val="center"/>
              <w:rPr>
                <w:sz w:val="24"/>
                <w:szCs w:val="24"/>
                <w:lang w:val="en-US"/>
              </w:rPr>
            </w:pPr>
            <w:r w:rsidRPr="00E9443C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CF1204" w:rsidRPr="00E9443C" w:rsidRDefault="00CF1204" w:rsidP="00F968CD">
            <w:pPr>
              <w:rPr>
                <w:sz w:val="24"/>
                <w:szCs w:val="24"/>
              </w:rPr>
            </w:pPr>
          </w:p>
        </w:tc>
      </w:tr>
      <w:tr w:rsidR="00CF1204" w:rsidRPr="006B67A9" w:rsidTr="00961B3C">
        <w:trPr>
          <w:trHeight w:val="905"/>
          <w:jc w:val="center"/>
        </w:trPr>
        <w:tc>
          <w:tcPr>
            <w:tcW w:w="710" w:type="dxa"/>
          </w:tcPr>
          <w:p w:rsidR="00CF1204" w:rsidRPr="00E9443C" w:rsidRDefault="00AA2507" w:rsidP="00FF0713">
            <w:pPr>
              <w:jc w:val="center"/>
              <w:rPr>
                <w:sz w:val="24"/>
                <w:szCs w:val="24"/>
              </w:rPr>
            </w:pPr>
            <w:r w:rsidRPr="00E9443C"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3544" w:type="dxa"/>
          </w:tcPr>
          <w:p w:rsidR="00CF1204" w:rsidRPr="00E9443C" w:rsidRDefault="00AA2507" w:rsidP="00FF0713">
            <w:pPr>
              <w:rPr>
                <w:sz w:val="24"/>
                <w:szCs w:val="24"/>
              </w:rPr>
            </w:pPr>
            <w:r w:rsidRPr="00E9443C"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2693" w:type="dxa"/>
          </w:tcPr>
          <w:p w:rsidR="00AA2507" w:rsidRDefault="00EA2366" w:rsidP="00FF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  <w:p w:rsidR="00EA2366" w:rsidRPr="00E9443C" w:rsidRDefault="00EA2366" w:rsidP="00FF0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337" w:type="dxa"/>
          </w:tcPr>
          <w:p w:rsidR="00FB64C3" w:rsidRPr="00E9443C" w:rsidRDefault="00FB64C3" w:rsidP="00FB64C3">
            <w:pPr>
              <w:rPr>
                <w:sz w:val="20"/>
                <w:szCs w:val="20"/>
              </w:rPr>
            </w:pPr>
          </w:p>
        </w:tc>
      </w:tr>
      <w:tr w:rsidR="00CA508E" w:rsidRPr="005E779C" w:rsidTr="00961B3C">
        <w:trPr>
          <w:trHeight w:val="504"/>
          <w:jc w:val="center"/>
        </w:trPr>
        <w:tc>
          <w:tcPr>
            <w:tcW w:w="710" w:type="dxa"/>
          </w:tcPr>
          <w:p w:rsidR="00CA508E" w:rsidRPr="00487217" w:rsidRDefault="00CA508E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A508E" w:rsidRPr="00487217" w:rsidRDefault="00CA508E" w:rsidP="00740F6C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Развитие транспортной системы в городском округе Кинешма</w:t>
            </w:r>
          </w:p>
        </w:tc>
        <w:tc>
          <w:tcPr>
            <w:tcW w:w="2693" w:type="dxa"/>
          </w:tcPr>
          <w:p w:rsidR="00CA508E" w:rsidRPr="00487217" w:rsidRDefault="0022134F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0,8</w:t>
            </w:r>
          </w:p>
          <w:p w:rsidR="00CA508E" w:rsidRPr="00487217" w:rsidRDefault="00CA508E" w:rsidP="0022134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CA508E" w:rsidRPr="00487217" w:rsidRDefault="00CA508E" w:rsidP="0022134F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22134F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CA508E" w:rsidRPr="005E779C" w:rsidTr="00961B3C">
        <w:trPr>
          <w:trHeight w:val="1126"/>
          <w:jc w:val="center"/>
        </w:trPr>
        <w:tc>
          <w:tcPr>
            <w:tcW w:w="710" w:type="dxa"/>
          </w:tcPr>
          <w:p w:rsidR="00CA508E" w:rsidRPr="00487217" w:rsidRDefault="00CA508E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11.1</w:t>
            </w:r>
          </w:p>
        </w:tc>
        <w:tc>
          <w:tcPr>
            <w:tcW w:w="3544" w:type="dxa"/>
          </w:tcPr>
          <w:p w:rsidR="00CA508E" w:rsidRPr="00487217" w:rsidRDefault="00CA508E" w:rsidP="00740F6C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значения, внутриквартальных проездов и придомовых территорий городского округа Кинешма </w:t>
            </w:r>
          </w:p>
        </w:tc>
        <w:tc>
          <w:tcPr>
            <w:tcW w:w="2693" w:type="dxa"/>
          </w:tcPr>
          <w:p w:rsidR="00CA508E" w:rsidRPr="00487217" w:rsidRDefault="00CA508E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</w:t>
            </w:r>
            <w:r w:rsidR="0022134F" w:rsidRPr="00487217">
              <w:rPr>
                <w:sz w:val="24"/>
                <w:szCs w:val="24"/>
              </w:rPr>
              <w:t>79</w:t>
            </w:r>
          </w:p>
          <w:p w:rsidR="00CA508E" w:rsidRPr="00487217" w:rsidRDefault="00CA508E" w:rsidP="00342F2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22134F" w:rsidRPr="00487217">
              <w:rPr>
                <w:sz w:val="24"/>
                <w:szCs w:val="24"/>
              </w:rPr>
              <w:t>низко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CA508E" w:rsidRPr="00487217" w:rsidRDefault="00CA508E" w:rsidP="00740F6C">
            <w:pPr>
              <w:rPr>
                <w:sz w:val="24"/>
                <w:szCs w:val="24"/>
              </w:rPr>
            </w:pPr>
          </w:p>
        </w:tc>
      </w:tr>
      <w:tr w:rsidR="00CA508E" w:rsidRPr="005E779C" w:rsidTr="00961B3C">
        <w:trPr>
          <w:trHeight w:val="1660"/>
          <w:jc w:val="center"/>
        </w:trPr>
        <w:tc>
          <w:tcPr>
            <w:tcW w:w="710" w:type="dxa"/>
          </w:tcPr>
          <w:p w:rsidR="00CA508E" w:rsidRPr="00487217" w:rsidRDefault="00CA508E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11.2</w:t>
            </w:r>
          </w:p>
          <w:p w:rsidR="00CA508E" w:rsidRPr="00487217" w:rsidRDefault="00CA508E" w:rsidP="0074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A508E" w:rsidRPr="00487217" w:rsidRDefault="00CA508E" w:rsidP="00740F6C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 </w:t>
            </w:r>
          </w:p>
        </w:tc>
        <w:tc>
          <w:tcPr>
            <w:tcW w:w="2693" w:type="dxa"/>
          </w:tcPr>
          <w:p w:rsidR="00CA508E" w:rsidRPr="00487217" w:rsidRDefault="0022134F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CA508E" w:rsidRPr="00487217" w:rsidRDefault="00CA508E" w:rsidP="00342F2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22134F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CA508E" w:rsidRPr="00487217" w:rsidRDefault="00CA508E" w:rsidP="00740F6C">
            <w:pPr>
              <w:rPr>
                <w:sz w:val="20"/>
                <w:szCs w:val="20"/>
              </w:rPr>
            </w:pP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487217" w:rsidRDefault="001D5332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1D5332" w:rsidRPr="00487217" w:rsidRDefault="001D5332" w:rsidP="00740F6C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Благоустройство городского округа Кинешма</w:t>
            </w:r>
          </w:p>
        </w:tc>
        <w:tc>
          <w:tcPr>
            <w:tcW w:w="2693" w:type="dxa"/>
          </w:tcPr>
          <w:p w:rsidR="001D5332" w:rsidRPr="00487217" w:rsidRDefault="00186B0E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1D5332" w:rsidRPr="00487217" w:rsidRDefault="001D5332" w:rsidP="00186B0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186B0E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1D5332" w:rsidRPr="00487217" w:rsidRDefault="001D5332" w:rsidP="00186B0E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186B0E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487217" w:rsidRDefault="001D5332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12.1</w:t>
            </w:r>
          </w:p>
        </w:tc>
        <w:tc>
          <w:tcPr>
            <w:tcW w:w="3544" w:type="dxa"/>
          </w:tcPr>
          <w:p w:rsidR="001D5332" w:rsidRPr="00487217" w:rsidRDefault="001D5332" w:rsidP="00740F6C">
            <w:pPr>
              <w:pStyle w:val="a5"/>
              <w:spacing w:before="0" w:beforeAutospacing="0" w:after="0"/>
            </w:pPr>
            <w:r w:rsidRPr="00487217">
              <w:t xml:space="preserve">«Благоустройство территории городского округа Кинешма» </w:t>
            </w:r>
          </w:p>
        </w:tc>
        <w:tc>
          <w:tcPr>
            <w:tcW w:w="2693" w:type="dxa"/>
          </w:tcPr>
          <w:p w:rsidR="001D5332" w:rsidRPr="00487217" w:rsidRDefault="00795B43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</w:t>
            </w:r>
            <w:r w:rsidR="00186B0E" w:rsidRPr="00487217">
              <w:rPr>
                <w:sz w:val="24"/>
                <w:szCs w:val="24"/>
              </w:rPr>
              <w:t>97</w:t>
            </w:r>
          </w:p>
          <w:p w:rsidR="001D5332" w:rsidRPr="00487217" w:rsidRDefault="001D5332" w:rsidP="00186B0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186B0E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1D5332" w:rsidRPr="00487217" w:rsidRDefault="001D5332" w:rsidP="00740F6C">
            <w:pPr>
              <w:rPr>
                <w:sz w:val="24"/>
                <w:szCs w:val="24"/>
              </w:rPr>
            </w:pP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487217" w:rsidRDefault="001D5332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12.2</w:t>
            </w:r>
          </w:p>
        </w:tc>
        <w:tc>
          <w:tcPr>
            <w:tcW w:w="3544" w:type="dxa"/>
          </w:tcPr>
          <w:p w:rsidR="001D5332" w:rsidRPr="00487217" w:rsidRDefault="001D5332" w:rsidP="00740F6C">
            <w:pPr>
              <w:pStyle w:val="a5"/>
              <w:spacing w:before="0" w:beforeAutospacing="0" w:after="0"/>
            </w:pPr>
            <w:r w:rsidRPr="00487217">
              <w:t xml:space="preserve">«Текущее содержание инженерной защиты (дамбы, дренажные системы, </w:t>
            </w:r>
            <w:proofErr w:type="spellStart"/>
            <w:r w:rsidRPr="00487217">
              <w:t>водоперекачивающие</w:t>
            </w:r>
            <w:proofErr w:type="spellEnd"/>
            <w:r w:rsidRPr="00487217">
              <w:t xml:space="preserve"> станции)» </w:t>
            </w:r>
          </w:p>
        </w:tc>
        <w:tc>
          <w:tcPr>
            <w:tcW w:w="2693" w:type="dxa"/>
          </w:tcPr>
          <w:p w:rsidR="001D5332" w:rsidRPr="00487217" w:rsidRDefault="001D5332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1D5332" w:rsidRPr="00487217" w:rsidRDefault="001D5332" w:rsidP="00740F6C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1D5332" w:rsidRPr="00487217" w:rsidRDefault="001D5332" w:rsidP="00740F6C">
            <w:pPr>
              <w:rPr>
                <w:sz w:val="24"/>
                <w:szCs w:val="24"/>
              </w:rPr>
            </w:pPr>
          </w:p>
        </w:tc>
      </w:tr>
      <w:tr w:rsidR="004326D1" w:rsidRPr="004326D1" w:rsidTr="00961B3C">
        <w:trPr>
          <w:trHeight w:val="905"/>
          <w:jc w:val="center"/>
        </w:trPr>
        <w:tc>
          <w:tcPr>
            <w:tcW w:w="710" w:type="dxa"/>
          </w:tcPr>
          <w:p w:rsidR="00087C6F" w:rsidRPr="00487217" w:rsidRDefault="00087C6F" w:rsidP="00A94CF0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87C6F" w:rsidRPr="00487217" w:rsidRDefault="00087C6F" w:rsidP="00A94CF0">
            <w:pPr>
              <w:pStyle w:val="a5"/>
              <w:spacing w:before="0" w:after="0"/>
              <w:rPr>
                <w:b/>
              </w:rPr>
            </w:pPr>
            <w:r w:rsidRPr="00487217">
              <w:rPr>
                <w:b/>
              </w:rPr>
              <w:t>Профилактика терроризма, минимизация и (или) ликвидация последствий его проявлений в городском округе Кинешма</w:t>
            </w:r>
          </w:p>
        </w:tc>
        <w:tc>
          <w:tcPr>
            <w:tcW w:w="2693" w:type="dxa"/>
          </w:tcPr>
          <w:p w:rsidR="00087C6F" w:rsidRPr="00487217" w:rsidRDefault="004326D1" w:rsidP="00A94CF0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087C6F" w:rsidRPr="00487217" w:rsidRDefault="00087C6F" w:rsidP="004326D1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4326D1" w:rsidRPr="00487217">
              <w:rPr>
                <w:sz w:val="24"/>
                <w:szCs w:val="24"/>
              </w:rPr>
              <w:t>высо</w:t>
            </w:r>
            <w:r w:rsidR="00A51643" w:rsidRPr="00487217">
              <w:rPr>
                <w:sz w:val="24"/>
                <w:szCs w:val="24"/>
              </w:rPr>
              <w:t>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087C6F" w:rsidRPr="00487217" w:rsidRDefault="00087C6F" w:rsidP="004326D1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4326D1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9D0CBD" w:rsidRPr="009D0CBD" w:rsidTr="00961B3C">
        <w:trPr>
          <w:trHeight w:val="905"/>
          <w:jc w:val="center"/>
        </w:trPr>
        <w:tc>
          <w:tcPr>
            <w:tcW w:w="710" w:type="dxa"/>
          </w:tcPr>
          <w:p w:rsidR="005265D6" w:rsidRPr="00487217" w:rsidRDefault="001F1778" w:rsidP="005265D6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265D6" w:rsidRPr="00487217" w:rsidRDefault="005265D6" w:rsidP="00B66BE0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 xml:space="preserve">Профилактика правонарушений в городском округе Кинешма </w:t>
            </w:r>
          </w:p>
        </w:tc>
        <w:tc>
          <w:tcPr>
            <w:tcW w:w="2693" w:type="dxa"/>
          </w:tcPr>
          <w:p w:rsidR="005265D6" w:rsidRPr="00487217" w:rsidRDefault="005265D6" w:rsidP="001C4B6A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</w:t>
            </w:r>
            <w:r w:rsidR="009D0CBD" w:rsidRPr="00487217">
              <w:rPr>
                <w:sz w:val="24"/>
                <w:szCs w:val="24"/>
              </w:rPr>
              <w:t>89</w:t>
            </w:r>
          </w:p>
          <w:p w:rsidR="005265D6" w:rsidRPr="00487217" w:rsidRDefault="005265D6" w:rsidP="001C4B6A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5265D6" w:rsidRPr="00487217" w:rsidRDefault="005265D6" w:rsidP="009D0CBD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9D0CBD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9D0CBD" w:rsidRPr="009D0CBD" w:rsidTr="00961B3C">
        <w:trPr>
          <w:trHeight w:val="905"/>
          <w:jc w:val="center"/>
        </w:trPr>
        <w:tc>
          <w:tcPr>
            <w:tcW w:w="710" w:type="dxa"/>
          </w:tcPr>
          <w:p w:rsidR="005265D6" w:rsidRPr="00487217" w:rsidRDefault="001F1778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14</w:t>
            </w:r>
            <w:r w:rsidR="005265D6" w:rsidRPr="00487217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487217" w:rsidRDefault="005265D6" w:rsidP="00FF0713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Предупреждение правонарушений и обеспечение экологической безопасности»</w:t>
            </w:r>
          </w:p>
        </w:tc>
        <w:tc>
          <w:tcPr>
            <w:tcW w:w="2693" w:type="dxa"/>
          </w:tcPr>
          <w:p w:rsidR="005265D6" w:rsidRPr="00487217" w:rsidRDefault="005265D6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</w:t>
            </w:r>
            <w:r w:rsidR="009D0CBD" w:rsidRPr="00487217">
              <w:rPr>
                <w:sz w:val="24"/>
                <w:szCs w:val="24"/>
              </w:rPr>
              <w:t>87</w:t>
            </w:r>
          </w:p>
          <w:p w:rsidR="005265D6" w:rsidRPr="00487217" w:rsidRDefault="005265D6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5265D6" w:rsidRPr="00487217" w:rsidRDefault="005265D6" w:rsidP="00FF0713">
            <w:pPr>
              <w:rPr>
                <w:sz w:val="24"/>
                <w:szCs w:val="24"/>
              </w:rPr>
            </w:pPr>
          </w:p>
        </w:tc>
      </w:tr>
      <w:tr w:rsidR="009D0CBD" w:rsidRPr="009D0CBD" w:rsidTr="00961B3C">
        <w:trPr>
          <w:trHeight w:val="905"/>
          <w:jc w:val="center"/>
        </w:trPr>
        <w:tc>
          <w:tcPr>
            <w:tcW w:w="710" w:type="dxa"/>
          </w:tcPr>
          <w:p w:rsidR="005265D6" w:rsidRPr="00487217" w:rsidRDefault="005265D6" w:rsidP="001F1778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lastRenderedPageBreak/>
              <w:t>1</w:t>
            </w:r>
            <w:r w:rsidR="001F1778" w:rsidRPr="00487217">
              <w:rPr>
                <w:sz w:val="24"/>
                <w:szCs w:val="24"/>
              </w:rPr>
              <w:t>4</w:t>
            </w:r>
            <w:r w:rsidRPr="00487217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487217" w:rsidRDefault="00B575B3" w:rsidP="00FF0713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693" w:type="dxa"/>
          </w:tcPr>
          <w:p w:rsidR="005265D6" w:rsidRPr="00487217" w:rsidRDefault="009D0CBD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0,45</w:t>
            </w:r>
          </w:p>
          <w:p w:rsidR="005265D6" w:rsidRPr="00487217" w:rsidRDefault="005265D6" w:rsidP="009D0CBD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9D0CBD" w:rsidRPr="00487217">
              <w:rPr>
                <w:sz w:val="24"/>
                <w:szCs w:val="24"/>
              </w:rPr>
              <w:t>низко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487217" w:rsidRDefault="005265D6" w:rsidP="005B339C">
            <w:pPr>
              <w:rPr>
                <w:sz w:val="24"/>
                <w:szCs w:val="24"/>
              </w:rPr>
            </w:pPr>
          </w:p>
        </w:tc>
      </w:tr>
      <w:tr w:rsidR="006D240E" w:rsidRPr="006D240E" w:rsidTr="00961B3C">
        <w:trPr>
          <w:trHeight w:val="785"/>
          <w:jc w:val="center"/>
        </w:trPr>
        <w:tc>
          <w:tcPr>
            <w:tcW w:w="710" w:type="dxa"/>
          </w:tcPr>
          <w:p w:rsidR="005265D6" w:rsidRPr="00487217" w:rsidRDefault="001F1778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265D6" w:rsidRPr="00487217" w:rsidRDefault="005265D6" w:rsidP="00E31B55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Развитие физической культуры и спорта в городском округе Кинешма</w:t>
            </w:r>
          </w:p>
        </w:tc>
        <w:tc>
          <w:tcPr>
            <w:tcW w:w="2693" w:type="dxa"/>
          </w:tcPr>
          <w:p w:rsidR="005265D6" w:rsidRPr="00487217" w:rsidRDefault="004B2253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</w:t>
            </w:r>
            <w:r w:rsidR="006D240E" w:rsidRPr="00487217">
              <w:rPr>
                <w:sz w:val="24"/>
                <w:szCs w:val="24"/>
              </w:rPr>
              <w:t>5</w:t>
            </w:r>
          </w:p>
          <w:p w:rsidR="005265D6" w:rsidRPr="00487217" w:rsidRDefault="005265D6" w:rsidP="00FA4C9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4B2253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487217" w:rsidRDefault="005265D6" w:rsidP="006D240E">
            <w:pPr>
              <w:rPr>
                <w:sz w:val="20"/>
                <w:szCs w:val="20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6D240E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6D240E" w:rsidRPr="006D240E" w:rsidTr="00961B3C">
        <w:trPr>
          <w:trHeight w:val="807"/>
          <w:jc w:val="center"/>
        </w:trPr>
        <w:tc>
          <w:tcPr>
            <w:tcW w:w="710" w:type="dxa"/>
          </w:tcPr>
          <w:p w:rsidR="005265D6" w:rsidRPr="00487217" w:rsidRDefault="001F1778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</w:t>
            </w:r>
            <w:r w:rsidR="005265D6" w:rsidRPr="00487217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487217" w:rsidRDefault="005265D6" w:rsidP="00E31B55">
            <w:pPr>
              <w:pStyle w:val="a5"/>
              <w:spacing w:before="0" w:after="0"/>
            </w:pPr>
            <w:r w:rsidRPr="00487217">
              <w:t>Развитие физической культуры и массового спорта</w:t>
            </w:r>
          </w:p>
        </w:tc>
        <w:tc>
          <w:tcPr>
            <w:tcW w:w="2693" w:type="dxa"/>
          </w:tcPr>
          <w:p w:rsidR="005265D6" w:rsidRPr="00487217" w:rsidRDefault="005265D6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</w:t>
            </w:r>
            <w:r w:rsidR="004B2253" w:rsidRPr="00487217">
              <w:rPr>
                <w:sz w:val="24"/>
                <w:szCs w:val="24"/>
              </w:rPr>
              <w:t>9</w:t>
            </w:r>
            <w:r w:rsidR="006D240E" w:rsidRPr="00487217">
              <w:rPr>
                <w:sz w:val="24"/>
                <w:szCs w:val="24"/>
              </w:rPr>
              <w:t>6</w:t>
            </w:r>
          </w:p>
          <w:p w:rsidR="005265D6" w:rsidRPr="00487217" w:rsidRDefault="005265D6" w:rsidP="00FA4C9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4B2253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487217" w:rsidRDefault="005265D6" w:rsidP="00E31B55">
            <w:pPr>
              <w:rPr>
                <w:sz w:val="20"/>
                <w:szCs w:val="20"/>
              </w:rPr>
            </w:pPr>
          </w:p>
        </w:tc>
      </w:tr>
      <w:tr w:rsidR="006D240E" w:rsidRPr="006D240E" w:rsidTr="003F5358">
        <w:trPr>
          <w:trHeight w:val="636"/>
          <w:jc w:val="center"/>
        </w:trPr>
        <w:tc>
          <w:tcPr>
            <w:tcW w:w="710" w:type="dxa"/>
          </w:tcPr>
          <w:p w:rsidR="005265D6" w:rsidRPr="00487217" w:rsidRDefault="001F1778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</w:t>
            </w:r>
            <w:r w:rsidR="005265D6" w:rsidRPr="00487217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487217" w:rsidRDefault="005265D6" w:rsidP="005866D1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Развитие системы подготовки спортивного резерва</w:t>
            </w:r>
          </w:p>
        </w:tc>
        <w:tc>
          <w:tcPr>
            <w:tcW w:w="2693" w:type="dxa"/>
          </w:tcPr>
          <w:p w:rsidR="005265D6" w:rsidRPr="00487217" w:rsidRDefault="005265D6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1666BE" w:rsidRPr="00487217">
              <w:rPr>
                <w:sz w:val="24"/>
                <w:szCs w:val="24"/>
              </w:rPr>
              <w:t>25</w:t>
            </w:r>
          </w:p>
          <w:p w:rsidR="005265D6" w:rsidRPr="00487217" w:rsidRDefault="005265D6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487217" w:rsidRDefault="005265D6" w:rsidP="00E31B55">
            <w:pPr>
              <w:rPr>
                <w:sz w:val="20"/>
                <w:szCs w:val="20"/>
              </w:rPr>
            </w:pPr>
          </w:p>
        </w:tc>
      </w:tr>
      <w:tr w:rsidR="006D240E" w:rsidRPr="006D240E" w:rsidTr="00961B3C">
        <w:trPr>
          <w:trHeight w:val="1120"/>
          <w:jc w:val="center"/>
        </w:trPr>
        <w:tc>
          <w:tcPr>
            <w:tcW w:w="710" w:type="dxa"/>
          </w:tcPr>
          <w:p w:rsidR="005265D6" w:rsidRPr="00487217" w:rsidRDefault="001F1778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</w:t>
            </w:r>
            <w:r w:rsidR="005265D6" w:rsidRPr="00487217">
              <w:rPr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5265D6" w:rsidRPr="00487217" w:rsidRDefault="005265D6" w:rsidP="005866D1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5265D6" w:rsidRPr="00487217" w:rsidRDefault="001666BE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B420D4" w:rsidRPr="00487217">
              <w:rPr>
                <w:sz w:val="24"/>
                <w:szCs w:val="24"/>
              </w:rPr>
              <w:t>0</w:t>
            </w:r>
          </w:p>
          <w:p w:rsidR="005265D6" w:rsidRPr="00487217" w:rsidRDefault="005265D6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487217" w:rsidRDefault="005265D6" w:rsidP="00E31B55">
            <w:pPr>
              <w:rPr>
                <w:sz w:val="20"/>
                <w:szCs w:val="20"/>
              </w:rPr>
            </w:pPr>
          </w:p>
        </w:tc>
      </w:tr>
      <w:tr w:rsidR="005F3AA0" w:rsidRPr="005F3AA0" w:rsidTr="00961B3C">
        <w:trPr>
          <w:trHeight w:val="773"/>
          <w:jc w:val="center"/>
        </w:trPr>
        <w:tc>
          <w:tcPr>
            <w:tcW w:w="710" w:type="dxa"/>
          </w:tcPr>
          <w:p w:rsidR="005265D6" w:rsidRPr="00487217" w:rsidRDefault="001F1778" w:rsidP="00472958">
            <w:pPr>
              <w:jc w:val="center"/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265D6" w:rsidRPr="00487217" w:rsidRDefault="005265D6" w:rsidP="00F3102E">
            <w:pPr>
              <w:pStyle w:val="a5"/>
              <w:spacing w:before="0" w:after="0"/>
              <w:rPr>
                <w:b/>
              </w:rPr>
            </w:pPr>
            <w:r w:rsidRPr="00487217">
              <w:rPr>
                <w:b/>
              </w:rPr>
              <w:t>Реализация социальной и молодежной политики в городском округе Кинешма</w:t>
            </w:r>
          </w:p>
        </w:tc>
        <w:tc>
          <w:tcPr>
            <w:tcW w:w="2693" w:type="dxa"/>
          </w:tcPr>
          <w:p w:rsidR="005265D6" w:rsidRPr="00487217" w:rsidRDefault="00A445DF" w:rsidP="00F3102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</w:t>
            </w:r>
            <w:r w:rsidR="005F3AA0" w:rsidRPr="00487217">
              <w:rPr>
                <w:sz w:val="24"/>
                <w:szCs w:val="24"/>
              </w:rPr>
              <w:t>5</w:t>
            </w:r>
          </w:p>
          <w:p w:rsidR="005265D6" w:rsidRPr="00487217" w:rsidRDefault="005265D6" w:rsidP="00F3102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487217" w:rsidRDefault="005265D6" w:rsidP="005F3AA0">
            <w:pPr>
              <w:rPr>
                <w:b/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5F3AA0" w:rsidRPr="00487217">
              <w:rPr>
                <w:sz w:val="24"/>
                <w:szCs w:val="24"/>
              </w:rPr>
              <w:t>3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5F3AA0" w:rsidRPr="005F3AA0" w:rsidTr="00961B3C">
        <w:trPr>
          <w:trHeight w:val="773"/>
          <w:jc w:val="center"/>
        </w:trPr>
        <w:tc>
          <w:tcPr>
            <w:tcW w:w="710" w:type="dxa"/>
          </w:tcPr>
          <w:p w:rsidR="005265D6" w:rsidRPr="00487217" w:rsidRDefault="001F1778" w:rsidP="00472958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16</w:t>
            </w:r>
            <w:r w:rsidR="005265D6" w:rsidRPr="00487217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487217" w:rsidRDefault="00756A59" w:rsidP="00F3102E">
            <w:pPr>
              <w:pStyle w:val="a5"/>
              <w:spacing w:before="0" w:after="0"/>
            </w:pPr>
            <w:r w:rsidRPr="00487217">
              <w:t>П</w:t>
            </w:r>
            <w:r w:rsidR="005265D6" w:rsidRPr="00487217">
              <w:t>оддержка отдельных категорий граждан городского округа Кинешма</w:t>
            </w:r>
          </w:p>
        </w:tc>
        <w:tc>
          <w:tcPr>
            <w:tcW w:w="2693" w:type="dxa"/>
          </w:tcPr>
          <w:p w:rsidR="005265D6" w:rsidRPr="00487217" w:rsidRDefault="00A445DF" w:rsidP="00F3102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5F3AA0" w:rsidRPr="00487217">
              <w:rPr>
                <w:sz w:val="24"/>
                <w:szCs w:val="24"/>
              </w:rPr>
              <w:t>21</w:t>
            </w:r>
          </w:p>
          <w:p w:rsidR="005265D6" w:rsidRPr="00487217" w:rsidRDefault="005265D6" w:rsidP="00A445DF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A445DF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487217" w:rsidRDefault="005265D6" w:rsidP="008B1C27">
            <w:pPr>
              <w:rPr>
                <w:sz w:val="24"/>
                <w:szCs w:val="24"/>
              </w:rPr>
            </w:pPr>
          </w:p>
        </w:tc>
      </w:tr>
      <w:tr w:rsidR="005F3AA0" w:rsidRPr="005F3AA0" w:rsidTr="003F5358">
        <w:trPr>
          <w:trHeight w:val="544"/>
          <w:jc w:val="center"/>
        </w:trPr>
        <w:tc>
          <w:tcPr>
            <w:tcW w:w="710" w:type="dxa"/>
          </w:tcPr>
          <w:p w:rsidR="005265D6" w:rsidRPr="00487217" w:rsidRDefault="001F1778" w:rsidP="00472958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16</w:t>
            </w:r>
            <w:r w:rsidR="005265D6" w:rsidRPr="00487217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487217" w:rsidRDefault="005265D6" w:rsidP="00F3102E">
            <w:pPr>
              <w:pStyle w:val="a5"/>
              <w:spacing w:before="0" w:after="0"/>
            </w:pPr>
            <w:r w:rsidRPr="00487217">
              <w:t>Дети города Кинешма</w:t>
            </w:r>
          </w:p>
        </w:tc>
        <w:tc>
          <w:tcPr>
            <w:tcW w:w="2693" w:type="dxa"/>
          </w:tcPr>
          <w:p w:rsidR="005265D6" w:rsidRPr="00487217" w:rsidRDefault="005265D6" w:rsidP="00F3102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</w:t>
            </w:r>
            <w:r w:rsidR="00A445DF" w:rsidRPr="00487217">
              <w:rPr>
                <w:sz w:val="24"/>
                <w:szCs w:val="24"/>
              </w:rPr>
              <w:t>4</w:t>
            </w:r>
          </w:p>
          <w:p w:rsidR="005265D6" w:rsidRPr="00487217" w:rsidRDefault="005265D6" w:rsidP="00F3102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487217" w:rsidRDefault="005265D6" w:rsidP="00E31B55">
            <w:pPr>
              <w:rPr>
                <w:sz w:val="24"/>
                <w:szCs w:val="24"/>
              </w:rPr>
            </w:pPr>
          </w:p>
        </w:tc>
      </w:tr>
      <w:tr w:rsidR="005F3AA0" w:rsidRPr="005F3AA0" w:rsidTr="003F5358">
        <w:trPr>
          <w:trHeight w:val="552"/>
          <w:jc w:val="center"/>
        </w:trPr>
        <w:tc>
          <w:tcPr>
            <w:tcW w:w="710" w:type="dxa"/>
          </w:tcPr>
          <w:p w:rsidR="005265D6" w:rsidRPr="00487217" w:rsidRDefault="001F1778" w:rsidP="00472958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16</w:t>
            </w:r>
            <w:r w:rsidR="005265D6" w:rsidRPr="00487217">
              <w:rPr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5265D6" w:rsidRPr="00487217" w:rsidRDefault="005265D6" w:rsidP="00F3102E">
            <w:pPr>
              <w:pStyle w:val="a5"/>
              <w:spacing w:before="0" w:after="0"/>
            </w:pPr>
            <w:r w:rsidRPr="00487217">
              <w:t>Молодежная политика  городского округа Кинешма</w:t>
            </w:r>
          </w:p>
        </w:tc>
        <w:tc>
          <w:tcPr>
            <w:tcW w:w="2693" w:type="dxa"/>
          </w:tcPr>
          <w:p w:rsidR="005265D6" w:rsidRPr="00487217" w:rsidRDefault="00A445DF" w:rsidP="00F3102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5265D6" w:rsidRPr="00487217" w:rsidRDefault="005265D6" w:rsidP="00F3102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487217" w:rsidRDefault="005265D6" w:rsidP="00E31B55">
            <w:pPr>
              <w:rPr>
                <w:sz w:val="24"/>
                <w:szCs w:val="24"/>
              </w:rPr>
            </w:pPr>
          </w:p>
        </w:tc>
      </w:tr>
    </w:tbl>
    <w:p w:rsidR="00E9443C" w:rsidRPr="00A210E6" w:rsidRDefault="00E9443C" w:rsidP="00A210E6">
      <w:pPr>
        <w:rPr>
          <w:b/>
        </w:rPr>
      </w:pPr>
    </w:p>
    <w:p w:rsidR="007E2A89" w:rsidRDefault="007E2A89" w:rsidP="00B1219B">
      <w:pPr>
        <w:pStyle w:val="a3"/>
        <w:ind w:left="-284"/>
        <w:rPr>
          <w:b/>
        </w:rPr>
      </w:pPr>
    </w:p>
    <w:p w:rsidR="000123F4" w:rsidRPr="009C6B9B" w:rsidRDefault="007E2A89" w:rsidP="00B1219B">
      <w:pPr>
        <w:pStyle w:val="a3"/>
        <w:ind w:left="-284"/>
        <w:rPr>
          <w:b/>
        </w:rPr>
      </w:pPr>
      <w:r>
        <w:rPr>
          <w:b/>
        </w:rPr>
        <w:t>З</w:t>
      </w:r>
      <w:r w:rsidR="000123F4" w:rsidRPr="009C6B9B">
        <w:rPr>
          <w:b/>
        </w:rPr>
        <w:t>аместител</w:t>
      </w:r>
      <w:r>
        <w:rPr>
          <w:b/>
        </w:rPr>
        <w:t>ь</w:t>
      </w:r>
      <w:r w:rsidR="000123F4" w:rsidRPr="009C6B9B">
        <w:rPr>
          <w:b/>
        </w:rPr>
        <w:t xml:space="preserve"> главы администрации</w:t>
      </w:r>
    </w:p>
    <w:p w:rsidR="003B4C68" w:rsidRDefault="000123F4" w:rsidP="00B1219B">
      <w:pPr>
        <w:pStyle w:val="a3"/>
        <w:ind w:left="-284"/>
        <w:rPr>
          <w:sz w:val="22"/>
          <w:szCs w:val="22"/>
        </w:rPr>
      </w:pPr>
      <w:r w:rsidRPr="009C6B9B">
        <w:rPr>
          <w:b/>
        </w:rPr>
        <w:t xml:space="preserve">городского округа Кинешма        </w:t>
      </w:r>
      <w:r w:rsidR="009C6B9B">
        <w:rPr>
          <w:b/>
        </w:rPr>
        <w:t xml:space="preserve">                             </w:t>
      </w:r>
      <w:r w:rsidRPr="009C6B9B">
        <w:rPr>
          <w:b/>
        </w:rPr>
        <w:t xml:space="preserve">                        </w:t>
      </w:r>
      <w:r w:rsidR="00AD3328">
        <w:rPr>
          <w:b/>
        </w:rPr>
        <w:t xml:space="preserve">   </w:t>
      </w:r>
      <w:r w:rsidRPr="009C6B9B">
        <w:rPr>
          <w:b/>
        </w:rPr>
        <w:t xml:space="preserve">  </w:t>
      </w:r>
      <w:r w:rsidR="00E9443C">
        <w:rPr>
          <w:b/>
        </w:rPr>
        <w:t>Л.В. Комарова</w:t>
      </w:r>
    </w:p>
    <w:p w:rsidR="00CB28B8" w:rsidRDefault="00CB28B8" w:rsidP="00B1219B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="00166690">
        <w:rPr>
          <w:sz w:val="22"/>
          <w:szCs w:val="22"/>
        </w:rPr>
        <w:t>н</w:t>
      </w:r>
      <w:r>
        <w:rPr>
          <w:sz w:val="22"/>
          <w:szCs w:val="22"/>
        </w:rPr>
        <w:t>ачальник управления экономического развития, торговли</w:t>
      </w:r>
    </w:p>
    <w:p w:rsidR="007E2A89" w:rsidRDefault="007E2A89" w:rsidP="00702A07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и транспорта администрации городского округа Кинешма  Разгуляева Т.А.</w:t>
      </w: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02A07" w:rsidRPr="007E2A89" w:rsidRDefault="00702A07" w:rsidP="007E2A89">
      <w:pPr>
        <w:pStyle w:val="a3"/>
        <w:ind w:left="-284"/>
        <w:rPr>
          <w:sz w:val="22"/>
          <w:szCs w:val="22"/>
        </w:rPr>
      </w:pPr>
      <w:r w:rsidRPr="003B4C68">
        <w:rPr>
          <w:sz w:val="22"/>
          <w:szCs w:val="22"/>
        </w:rPr>
        <w:t>исп</w:t>
      </w:r>
      <w:r w:rsidR="007E2A89">
        <w:rPr>
          <w:sz w:val="22"/>
          <w:szCs w:val="22"/>
        </w:rPr>
        <w:t>.</w:t>
      </w:r>
      <w:r w:rsidRPr="003B4C68">
        <w:rPr>
          <w:sz w:val="22"/>
          <w:szCs w:val="22"/>
        </w:rPr>
        <w:t xml:space="preserve"> </w:t>
      </w:r>
      <w:r w:rsidR="007E2A89">
        <w:rPr>
          <w:sz w:val="22"/>
          <w:szCs w:val="22"/>
        </w:rPr>
        <w:t xml:space="preserve"> </w:t>
      </w:r>
      <w:r w:rsidRPr="007E2A89">
        <w:rPr>
          <w:sz w:val="22"/>
          <w:szCs w:val="22"/>
        </w:rPr>
        <w:t>Зубкова И.П.</w:t>
      </w:r>
    </w:p>
    <w:p w:rsidR="00702A07" w:rsidRPr="00702A07" w:rsidRDefault="00166690" w:rsidP="00702A07">
      <w:pPr>
        <w:pStyle w:val="a3"/>
        <w:ind w:left="-284"/>
        <w:rPr>
          <w:sz w:val="22"/>
          <w:szCs w:val="22"/>
        </w:rPr>
        <w:sectPr w:rsidR="00702A07" w:rsidRPr="00702A07" w:rsidSect="00E31B55">
          <w:pgSz w:w="11906" w:h="16838" w:code="9"/>
          <w:pgMar w:top="680" w:right="624" w:bottom="680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>тел.56097</w:t>
      </w:r>
    </w:p>
    <w:p w:rsidR="00E9443C" w:rsidRPr="00702A07" w:rsidRDefault="00E9443C" w:rsidP="007E2A89">
      <w:pPr>
        <w:rPr>
          <w:sz w:val="22"/>
          <w:szCs w:val="22"/>
        </w:rPr>
      </w:pPr>
    </w:p>
    <w:sectPr w:rsidR="00E9443C" w:rsidRPr="00702A07" w:rsidSect="00702A07">
      <w:pgSz w:w="11906" w:h="16838" w:code="9"/>
      <w:pgMar w:top="0" w:right="62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6BB"/>
    <w:multiLevelType w:val="multilevel"/>
    <w:tmpl w:val="607002A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">
    <w:nsid w:val="4D1737DF"/>
    <w:multiLevelType w:val="hybridMultilevel"/>
    <w:tmpl w:val="693A70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2B8C"/>
    <w:multiLevelType w:val="multilevel"/>
    <w:tmpl w:val="B8E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2"/>
    <w:rsid w:val="00006F19"/>
    <w:rsid w:val="000123F4"/>
    <w:rsid w:val="00014A53"/>
    <w:rsid w:val="00015BFC"/>
    <w:rsid w:val="0002309A"/>
    <w:rsid w:val="0002315E"/>
    <w:rsid w:val="00025AA8"/>
    <w:rsid w:val="00034A83"/>
    <w:rsid w:val="00045BCF"/>
    <w:rsid w:val="00051415"/>
    <w:rsid w:val="00077CFF"/>
    <w:rsid w:val="00087C6F"/>
    <w:rsid w:val="000A0CBE"/>
    <w:rsid w:val="000E1953"/>
    <w:rsid w:val="000F3CC8"/>
    <w:rsid w:val="00103BC1"/>
    <w:rsid w:val="00105277"/>
    <w:rsid w:val="0011127E"/>
    <w:rsid w:val="0012140C"/>
    <w:rsid w:val="00124F0A"/>
    <w:rsid w:val="00125C8E"/>
    <w:rsid w:val="00141134"/>
    <w:rsid w:val="001630CB"/>
    <w:rsid w:val="001643AA"/>
    <w:rsid w:val="00166690"/>
    <w:rsid w:val="001666BE"/>
    <w:rsid w:val="0016737A"/>
    <w:rsid w:val="00182F6F"/>
    <w:rsid w:val="00186B0E"/>
    <w:rsid w:val="001962F6"/>
    <w:rsid w:val="001D5332"/>
    <w:rsid w:val="001E04CA"/>
    <w:rsid w:val="001E31D1"/>
    <w:rsid w:val="001F1778"/>
    <w:rsid w:val="001F2E88"/>
    <w:rsid w:val="001F388A"/>
    <w:rsid w:val="001F6157"/>
    <w:rsid w:val="00200F19"/>
    <w:rsid w:val="00207687"/>
    <w:rsid w:val="0022134F"/>
    <w:rsid w:val="00222EDC"/>
    <w:rsid w:val="00243923"/>
    <w:rsid w:val="00244B19"/>
    <w:rsid w:val="00247502"/>
    <w:rsid w:val="00276EC6"/>
    <w:rsid w:val="0028701D"/>
    <w:rsid w:val="002D6125"/>
    <w:rsid w:val="002E0039"/>
    <w:rsid w:val="002E1BB7"/>
    <w:rsid w:val="002E213F"/>
    <w:rsid w:val="002E6501"/>
    <w:rsid w:val="002E6B1E"/>
    <w:rsid w:val="002E72A3"/>
    <w:rsid w:val="002F5693"/>
    <w:rsid w:val="00301DBD"/>
    <w:rsid w:val="00313014"/>
    <w:rsid w:val="00317421"/>
    <w:rsid w:val="00320458"/>
    <w:rsid w:val="00342F2C"/>
    <w:rsid w:val="00353490"/>
    <w:rsid w:val="00362C68"/>
    <w:rsid w:val="003700F0"/>
    <w:rsid w:val="00376196"/>
    <w:rsid w:val="00384D58"/>
    <w:rsid w:val="00394FD5"/>
    <w:rsid w:val="003A0AE6"/>
    <w:rsid w:val="003A536A"/>
    <w:rsid w:val="003B4C68"/>
    <w:rsid w:val="003B5070"/>
    <w:rsid w:val="003C4FA0"/>
    <w:rsid w:val="003E7C9E"/>
    <w:rsid w:val="003F2C08"/>
    <w:rsid w:val="003F5358"/>
    <w:rsid w:val="00404A42"/>
    <w:rsid w:val="004326D1"/>
    <w:rsid w:val="00446617"/>
    <w:rsid w:val="00457D0D"/>
    <w:rsid w:val="0046197A"/>
    <w:rsid w:val="00463975"/>
    <w:rsid w:val="00471525"/>
    <w:rsid w:val="00472958"/>
    <w:rsid w:val="00483932"/>
    <w:rsid w:val="004866B4"/>
    <w:rsid w:val="00487217"/>
    <w:rsid w:val="004A1584"/>
    <w:rsid w:val="004A56AA"/>
    <w:rsid w:val="004A6CB7"/>
    <w:rsid w:val="004B2253"/>
    <w:rsid w:val="004F642C"/>
    <w:rsid w:val="0051408A"/>
    <w:rsid w:val="005265D6"/>
    <w:rsid w:val="00527631"/>
    <w:rsid w:val="00533353"/>
    <w:rsid w:val="00540B64"/>
    <w:rsid w:val="00542305"/>
    <w:rsid w:val="00544CBD"/>
    <w:rsid w:val="00550FC1"/>
    <w:rsid w:val="00551142"/>
    <w:rsid w:val="005551E1"/>
    <w:rsid w:val="005641E2"/>
    <w:rsid w:val="00581495"/>
    <w:rsid w:val="005866D1"/>
    <w:rsid w:val="005870D1"/>
    <w:rsid w:val="00597ED8"/>
    <w:rsid w:val="005B339C"/>
    <w:rsid w:val="005B35AD"/>
    <w:rsid w:val="005B6CE0"/>
    <w:rsid w:val="005C7632"/>
    <w:rsid w:val="005C7F6F"/>
    <w:rsid w:val="005D50F7"/>
    <w:rsid w:val="005E3EB7"/>
    <w:rsid w:val="005E779C"/>
    <w:rsid w:val="005F0F08"/>
    <w:rsid w:val="005F3AA0"/>
    <w:rsid w:val="00605277"/>
    <w:rsid w:val="006138DE"/>
    <w:rsid w:val="00614E2A"/>
    <w:rsid w:val="00621DBF"/>
    <w:rsid w:val="00624A88"/>
    <w:rsid w:val="00625CB9"/>
    <w:rsid w:val="00627F33"/>
    <w:rsid w:val="006436A7"/>
    <w:rsid w:val="00680BBE"/>
    <w:rsid w:val="0069292E"/>
    <w:rsid w:val="006B4F55"/>
    <w:rsid w:val="006B67A9"/>
    <w:rsid w:val="006D240E"/>
    <w:rsid w:val="006E3485"/>
    <w:rsid w:val="006E7F1B"/>
    <w:rsid w:val="006F7C42"/>
    <w:rsid w:val="00702A07"/>
    <w:rsid w:val="00704463"/>
    <w:rsid w:val="00704E9E"/>
    <w:rsid w:val="00712E76"/>
    <w:rsid w:val="00713584"/>
    <w:rsid w:val="00723163"/>
    <w:rsid w:val="00736EEF"/>
    <w:rsid w:val="0074682D"/>
    <w:rsid w:val="00756A59"/>
    <w:rsid w:val="00757250"/>
    <w:rsid w:val="0076333D"/>
    <w:rsid w:val="00785F4F"/>
    <w:rsid w:val="00795B43"/>
    <w:rsid w:val="007A4002"/>
    <w:rsid w:val="007A53CE"/>
    <w:rsid w:val="007B40FD"/>
    <w:rsid w:val="007C0806"/>
    <w:rsid w:val="007C12E8"/>
    <w:rsid w:val="007C7C11"/>
    <w:rsid w:val="007D577B"/>
    <w:rsid w:val="007E2A89"/>
    <w:rsid w:val="0080315D"/>
    <w:rsid w:val="008062FE"/>
    <w:rsid w:val="00827A68"/>
    <w:rsid w:val="00830E5C"/>
    <w:rsid w:val="00834047"/>
    <w:rsid w:val="0083420D"/>
    <w:rsid w:val="008419D8"/>
    <w:rsid w:val="00862F46"/>
    <w:rsid w:val="0087367D"/>
    <w:rsid w:val="00886A3C"/>
    <w:rsid w:val="00890545"/>
    <w:rsid w:val="0089210B"/>
    <w:rsid w:val="00892487"/>
    <w:rsid w:val="008A268C"/>
    <w:rsid w:val="008A60AB"/>
    <w:rsid w:val="008A787D"/>
    <w:rsid w:val="008B1C27"/>
    <w:rsid w:val="008B7592"/>
    <w:rsid w:val="008B7CCB"/>
    <w:rsid w:val="008C47E2"/>
    <w:rsid w:val="008D4494"/>
    <w:rsid w:val="008E4D42"/>
    <w:rsid w:val="00900147"/>
    <w:rsid w:val="009118F4"/>
    <w:rsid w:val="00927502"/>
    <w:rsid w:val="00947214"/>
    <w:rsid w:val="009528A8"/>
    <w:rsid w:val="009575C0"/>
    <w:rsid w:val="00957C74"/>
    <w:rsid w:val="00961B3C"/>
    <w:rsid w:val="00962814"/>
    <w:rsid w:val="00967F07"/>
    <w:rsid w:val="009825A0"/>
    <w:rsid w:val="00984C2B"/>
    <w:rsid w:val="009B28B8"/>
    <w:rsid w:val="009B5AA8"/>
    <w:rsid w:val="009C6B9B"/>
    <w:rsid w:val="009D0CBD"/>
    <w:rsid w:val="009D1EC8"/>
    <w:rsid w:val="009D7ADA"/>
    <w:rsid w:val="009E333C"/>
    <w:rsid w:val="009F0CCB"/>
    <w:rsid w:val="00A05FFA"/>
    <w:rsid w:val="00A210E6"/>
    <w:rsid w:val="00A338CD"/>
    <w:rsid w:val="00A36A2E"/>
    <w:rsid w:val="00A445DF"/>
    <w:rsid w:val="00A51643"/>
    <w:rsid w:val="00A56196"/>
    <w:rsid w:val="00A630ED"/>
    <w:rsid w:val="00A84A9E"/>
    <w:rsid w:val="00A87BAB"/>
    <w:rsid w:val="00A95715"/>
    <w:rsid w:val="00A97F9D"/>
    <w:rsid w:val="00AA0137"/>
    <w:rsid w:val="00AA2507"/>
    <w:rsid w:val="00AB40C8"/>
    <w:rsid w:val="00AC2AFB"/>
    <w:rsid w:val="00AC47C3"/>
    <w:rsid w:val="00AC64B4"/>
    <w:rsid w:val="00AD3328"/>
    <w:rsid w:val="00AF4DA9"/>
    <w:rsid w:val="00AF7736"/>
    <w:rsid w:val="00B024CA"/>
    <w:rsid w:val="00B1219B"/>
    <w:rsid w:val="00B24C43"/>
    <w:rsid w:val="00B420D4"/>
    <w:rsid w:val="00B54769"/>
    <w:rsid w:val="00B575B3"/>
    <w:rsid w:val="00B66BE0"/>
    <w:rsid w:val="00B72084"/>
    <w:rsid w:val="00B722D0"/>
    <w:rsid w:val="00B729CD"/>
    <w:rsid w:val="00B82A6F"/>
    <w:rsid w:val="00B942F2"/>
    <w:rsid w:val="00B95E80"/>
    <w:rsid w:val="00B97455"/>
    <w:rsid w:val="00BA4F13"/>
    <w:rsid w:val="00BB05B4"/>
    <w:rsid w:val="00BC09C4"/>
    <w:rsid w:val="00BC5DB4"/>
    <w:rsid w:val="00BC5ECF"/>
    <w:rsid w:val="00BE5BB9"/>
    <w:rsid w:val="00BF495B"/>
    <w:rsid w:val="00BF6C66"/>
    <w:rsid w:val="00BF79BF"/>
    <w:rsid w:val="00C02C40"/>
    <w:rsid w:val="00C03696"/>
    <w:rsid w:val="00C175D5"/>
    <w:rsid w:val="00C21641"/>
    <w:rsid w:val="00C24E7D"/>
    <w:rsid w:val="00C2562D"/>
    <w:rsid w:val="00C4053E"/>
    <w:rsid w:val="00C46122"/>
    <w:rsid w:val="00C56383"/>
    <w:rsid w:val="00C66BCB"/>
    <w:rsid w:val="00C82BAE"/>
    <w:rsid w:val="00C86B9D"/>
    <w:rsid w:val="00C92DEF"/>
    <w:rsid w:val="00C931F2"/>
    <w:rsid w:val="00C9399F"/>
    <w:rsid w:val="00CA508E"/>
    <w:rsid w:val="00CA7AB0"/>
    <w:rsid w:val="00CB28B8"/>
    <w:rsid w:val="00CC1836"/>
    <w:rsid w:val="00CC1BEA"/>
    <w:rsid w:val="00CC5712"/>
    <w:rsid w:val="00CE033C"/>
    <w:rsid w:val="00CE0689"/>
    <w:rsid w:val="00CE30A4"/>
    <w:rsid w:val="00CE6EE4"/>
    <w:rsid w:val="00CF0E18"/>
    <w:rsid w:val="00CF1204"/>
    <w:rsid w:val="00D105FB"/>
    <w:rsid w:val="00D21F84"/>
    <w:rsid w:val="00D242DC"/>
    <w:rsid w:val="00D256A5"/>
    <w:rsid w:val="00D27A65"/>
    <w:rsid w:val="00D31A32"/>
    <w:rsid w:val="00D3730A"/>
    <w:rsid w:val="00D47EEC"/>
    <w:rsid w:val="00D53180"/>
    <w:rsid w:val="00D627C3"/>
    <w:rsid w:val="00D64B93"/>
    <w:rsid w:val="00D74922"/>
    <w:rsid w:val="00D815F7"/>
    <w:rsid w:val="00D851FE"/>
    <w:rsid w:val="00DA13C9"/>
    <w:rsid w:val="00DC70CF"/>
    <w:rsid w:val="00DD3059"/>
    <w:rsid w:val="00DE1EA3"/>
    <w:rsid w:val="00E102FC"/>
    <w:rsid w:val="00E148B1"/>
    <w:rsid w:val="00E31B55"/>
    <w:rsid w:val="00E55704"/>
    <w:rsid w:val="00E63943"/>
    <w:rsid w:val="00E71E1D"/>
    <w:rsid w:val="00E75603"/>
    <w:rsid w:val="00E8621E"/>
    <w:rsid w:val="00E87488"/>
    <w:rsid w:val="00E94290"/>
    <w:rsid w:val="00E9443C"/>
    <w:rsid w:val="00EA2366"/>
    <w:rsid w:val="00EB311C"/>
    <w:rsid w:val="00ED0389"/>
    <w:rsid w:val="00F24CD3"/>
    <w:rsid w:val="00F47F02"/>
    <w:rsid w:val="00F572D2"/>
    <w:rsid w:val="00F62322"/>
    <w:rsid w:val="00F658B2"/>
    <w:rsid w:val="00F8743A"/>
    <w:rsid w:val="00FA4C9E"/>
    <w:rsid w:val="00FA7717"/>
    <w:rsid w:val="00FB4266"/>
    <w:rsid w:val="00FB64C3"/>
    <w:rsid w:val="00FC3DE1"/>
    <w:rsid w:val="00FC4947"/>
    <w:rsid w:val="00FD08CA"/>
    <w:rsid w:val="00FD1648"/>
    <w:rsid w:val="00FD441F"/>
    <w:rsid w:val="00FD7CAE"/>
    <w:rsid w:val="00FF1090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Зубкова</dc:creator>
  <cp:lastModifiedBy>Ирина Петровна Зубкова</cp:lastModifiedBy>
  <cp:revision>79</cp:revision>
  <cp:lastPrinted>2023-04-10T10:40:00Z</cp:lastPrinted>
  <dcterms:created xsi:type="dcterms:W3CDTF">2022-02-25T10:48:00Z</dcterms:created>
  <dcterms:modified xsi:type="dcterms:W3CDTF">2023-04-10T10:50:00Z</dcterms:modified>
</cp:coreProperties>
</file>