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состоянии и развитии конкурентной среды на рынках товаров, работ и услуг в муниципальном образовании «Городской округ Кинешма» за 2019 год</w:t>
      </w:r>
    </w:p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 итогам 2019 года подготовлен в соответствие с разделом  </w:t>
      </w:r>
      <w:r w:rsidRPr="00BB3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правительства Российской Федерации от 05.09.2015 № 1738-р «Об утверждении стандарта развития конкуренции в субъектах Российской Федерации»  (далее – Стандарт). При подготовке настоящего доклада использовались сведения, полученные в ходе анкетирования субъектов предпринимательства, потребителей, материалов работы коллегиальных (совещательных) органов при администрации городского округа Кинешма, информации общественных объединений предпринимателей городского округа Кинешма – ОО «Совет директоров </w:t>
      </w:r>
      <w:proofErr w:type="spell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Кинешма», Кинешемского местного отделения ОО «ОПОРА России».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ограниченности финансовых возможностей местного бюджета городского округа Кинешма, привлечение научных, экспертных и исследовательских организаций не представилось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состоит из трех частей. В первой части доклада представлен анализ состояния и развития конкурентной среды с точки зрения ведения бизнеса. Вторая часть доклада представляет анализ состояния конкурентной среды рынка товар, работ, услуг с точки зрения потребителей товаров, работ услуг. В третьей части доклада дается обзор организаций муниципальной формы собственности, работающих на конкурентных рынках.</w:t>
      </w:r>
    </w:p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развития конкуренции представителями бизнеса</w:t>
      </w:r>
    </w:p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 бизнеса на уровень развития конкуренции в целом не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претерпел значительных изменений и соответствует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2017 года. Данные полученные в результате анкетирования  45 субъектов предпринимательства выявили следующие результаты.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предприятий являются относительно долгоживущими на рынке – свыше 5 лет – 11 ед., от 1 года до 5 лет - 22 ед.  Что свидетельствует о </w:t>
      </w:r>
      <w:r w:rsidR="001B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низких барьерах входа на рынок</w:t>
      </w:r>
      <w:bookmarkStart w:id="0" w:name="_GoBack"/>
      <w:bookmarkEnd w:id="0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в основном принимали участие собственники и руководители бизнеса 19 ед. и 21 ед. соответственно.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опрошенных представлена малыми и микро-предприятиями: численностью до 15 человек (20 ед.) и годовым оборотом до 120 млн. рублей (24 ед.), что свидетельствует о низкой концентрации капитала и относительно высоком уровне конкуренции.</w:t>
      </w:r>
      <w:proofErr w:type="gramEnd"/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респондентов работает в сфере услуг детского отдыха и оздоровления – 11ед. 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Ожидаемо, основным видом продукции для опрошенных представителей бизнеса является продажа конечных товаров, компоненты для производства конечной продукции и услуг потребителям (продукция 9 ед., услуги – 18 ед.).  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основной вид реализуемой продукции составляют продовольственные и промышленные товары, одежда, обувь. 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субъектов малого и микро-бизнеса характерна ориентация на местный рынок и региональный рынок (10 ед. и 9 ед. соответственно). Острота конкурентной борьбы в городе находится на слабом уровне, такую оценку дали 29 респондентов, в свою очередь 9 респондентов отметили </w:t>
      </w:r>
      <w:r w:rsidRPr="00BB3CA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уровень конкурентной борьбы.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рыночной ниши субъекты предпринимательства испытывают различный уровень конкуренции. В основном субъект предпринимательства сталкивается с 1-3 конкурентами (21 ед.), однако по другим категориям имеются сходные значения – 4 и более конкурентов (11 ед.), большое число конкурентов – (9  ед.).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опрошенных (11 ед.) считают, что за период 2017-2019 годы число конкурентов в их рыночной нише сократилось на 1-3 конкурента, 10 респондентов отметили, что произошло увеличение на 4 и более конкурента.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респондентов считают качество информации о состоянии конкурентной среды по уровню доступности  неудовлетворительным (16 ед.),  по уровню понятности – не удовлетворительным (18 ед.)., опрошенные пояснили, что основные источники информацию используют документы и информационные сообщения для использования государственными органами и не адаптированными для широкого круга пользователей, по удобству получения информации также дана оценка неудовлетворительно (16 </w:t>
      </w:r>
      <w:proofErr w:type="spellStart"/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респондентов (17 ед.) работают с 2-3 поставщиками, уровень конкуренции между ними считают удовлетворительным 11 респондентов.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закупаемой продукции товары для перепродажи: продовольственные и промышленные товары.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Респондентами традиционно выделены следующие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приоритетно развитие конкуренции: услуги ЖКХ, легкая промышленность, пищевая промышленность.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считают, что конкуренция на их отраслевом рынке имеет высокий уровень развития (9 ед.). Основными административными барьерами респонденты по-прежнему считают: нестабильность 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(14 ед.), высокие налоги (10 ед.), сложность/затянутость процедуры получения лицензий (9 ед.).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опрошенных, большинство считают, что органы власти ничего не предпринимают, что и требуется (14 ед.), органы власти не предпринимают каких-либо действий, но их участие необходимо (9 ед.).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опрошенных считают, что административные барьеры присутствуют, но они преодолимы без существенных затрат (17 ед.).</w:t>
      </w:r>
      <w:proofErr w:type="gramEnd"/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бизнеса отмечено, что за период 2017-2019 годы уровень и количество административных барьеров не изменилось (11 ед.), бизнесу стало проще преодолевать административные барьеры, чем раньше (11 ед.). Опрошенные пояснили, что основные барьеры остались на уровне федеральные структуры: надзора и  таможенная служба.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респондентами деятельности естественных монополий не претерпела значительных изменений: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Водоснабжение, водоотведение: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характеристикам в большинстве случаев респонденты затрудняются ответить.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Газоснабжение: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характеристикам в большинстве случаев респонденты затрудняются ответить.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Электроснабжение: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характеристикам в большинстве случаев респонденты затрудняются ответить.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Теплоснабжение: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характеристикам в большинстве случаев респонденты затрудняются ответить.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Телефонная связь: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всем характеристикам в большинстве случаев респонденты затрудняются ответить.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бизнеса сроки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услугам естественных монополий следующие: большинство респондентов не сталкивалось с необходимостью подключения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Электросетям  - до 50 дней (3-4 процедуры)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Водоснабжение/Водоотведение – до 50 дней (3-4 процедуры)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сети – до 50 дней  (2 процедуры)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 сеть –  до 50 дней (2 процедуры)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земельного участка – до 50 дней (3-4 процедуры)</w:t>
      </w:r>
    </w:p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развития конкуренции потребителями товаров, услуг</w:t>
      </w:r>
    </w:p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развития конкуренции в 2019 г. со стороны потребителей также не претерпела значительных изменений. В анкетировании приняли участие 46  респондентов (согласились принять участие в опросе), в основном работающее население, в возрасте 36-50 лет,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Наиболее проблемными отраслями с точки зрения респондентами выделены рынок продуктов питания,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хозяйств, медицинские услуги.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анкетирования выявили следующие результаты: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Социально-демографические характеристики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 распределились следующим образом: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35 человек (77 %), женщины 11 человек(23%)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состав: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36 до 50 лет – 37 %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до 35 лет – 28%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 51 года – 24 % 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лет – 11 %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опрошенных составляют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человек (66%).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респондентов имеют детей, по количеству детей получилось следующее распределение: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 – 35 %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детей – 26 %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ребенка  - 26 %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3 и более детей – 13 %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опрошенных большинство имеют среднее специальное образование –20 человек (44%), высшее образование – 19 человек (42%), неполное высшее (учатся) – 5 человек (11%).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уровень доходов не соответствует уровню человеческого капитала – людям с высшим образованием со сложившейся карьерой. Так большинство опрошенных 66% имеют уровень дохода в пределах от 10-20 тыс. рублей на одного члена семьи в месяц, что ненамного превосходит величину прожиточного минимума в Ивановской области в </w:t>
      </w:r>
      <w:r w:rsidRPr="00BB3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2019 года 9839 руб. на душу населения (10 716 рублей – трудоспособные). При этом 20 % опрошенных имеют доход ниже 10 000 рублей, и только 11 % имеют доход на члена семь в диапазоне 20-30 тыс. рублей. При этом людей с более высоким уровнем дохода среди респондентов не оказалось. Данная ситуация осложнена и тем что среди граждан с низкими доходами преобладаю семьи с детьми.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среди респондентов в основном оказались представители экономически активной части населения, доля товаров и услуг в их расходах значительна. Низкий уровень дохода делает данную категорию потребителей 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чувствительной к изменению цены и качества широкого ассортимента товаров и услуг.</w:t>
      </w:r>
    </w:p>
    <w:p w:rsidR="00BB3CA8" w:rsidRPr="00BB3CA8" w:rsidRDefault="00BB3CA8" w:rsidP="00BB3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уровня удовлетворенности качество и ценами товаров и услуг респонденты в основном избегали крайних оценок (избыточно много, нет совсем):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5"/>
        <w:gridCol w:w="1526"/>
      </w:tblGrid>
      <w:tr w:rsidR="00BB3CA8" w:rsidRPr="00BB3CA8" w:rsidTr="00867E86">
        <w:trPr>
          <w:trHeight w:val="31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</w:tr>
      <w:tr w:rsidR="00BB3CA8" w:rsidRPr="00BB3CA8" w:rsidTr="00867E86">
        <w:trPr>
          <w:trHeight w:val="630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теплоснабжения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BB3CA8" w:rsidRPr="00BB3CA8" w:rsidTr="00867E86">
        <w:trPr>
          <w:trHeight w:val="630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</w:tr>
      <w:tr w:rsidR="00BB3CA8" w:rsidRPr="00BB3CA8" w:rsidTr="00867E86">
        <w:trPr>
          <w:trHeight w:val="630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gram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когенерации</w:t>
            </w:r>
            <w:proofErr w:type="spellEnd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.]</w:t>
            </w:r>
            <w:proofErr w:type="gram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BB3CA8" w:rsidRPr="00BB3CA8" w:rsidTr="00867E86">
        <w:trPr>
          <w:trHeight w:val="630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строительства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gramEnd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Рынок обработки древесины и производства изделий из дерева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</w:tr>
      <w:tr w:rsidR="00BB3CA8" w:rsidRPr="00BB3CA8" w:rsidTr="00867E86">
        <w:trPr>
          <w:trHeight w:val="315"/>
        </w:trPr>
        <w:tc>
          <w:tcPr>
            <w:tcW w:w="4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наружной рекламы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A8" w:rsidRPr="00BB3CA8" w:rsidRDefault="00BB3CA8" w:rsidP="00BB3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</w:tbl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сегментам рынка респонденты оценили количество присутствующих организаций как достаточное: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«Рынок услуг дошкольного образования», «Рынок услуг среднего профессионального образования», «Рынок медицинских услуг», «Рынок социальных услуг», «Рынок услуг розничной торговли лекарственными препаратами, медицинскими изделиями и сопутствующими товарами», «Рынок теплоснабжения (производство тепловой энергии)», «Рынок услуг жилищно-коммунального хозяйства», «Рынок услуг по сбору и транспортированию твердых коммунальных отходов (далее – ТКО)», «Рынок купли-продажи электрической энергии (мощности) на розничном рынке электрической энергии (мощности)», «Рынок оказания услуг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перевозке пассажиров автомобильным транспортом по муниципальным маршрутам регулярных перевозок», «Рынок оказания услуг по перевозке пассажиров автомобильным транспортом по межмуниципальным маршрутам регулярных перевозок», «Рынок оказания услуг по перевозке пассажиров и багажа легковым такси на территории субъекта Российской Федерации», «Рынок услуг связи.2, «Рынок легкой промышленности».  В свою очередь, по ряду направлений: детский отдых и оздоровление и дополнительное образование детей отмечено недостаточное количество организаций (мало).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категориям «Рынок услуг психолого-педагогического сопровождения детей с ограниченными возможностями здоровья», «Рынок выполнения работ по благоустройству городской среды», «Рынок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когенерации</w:t>
      </w:r>
      <w:proofErr w:type="spell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«Рынок дорожной деятельности (за исключением проектирования)», «Рынок строительства», «Рынок архитектурно-строительного проектирования», «Рынок племенного животноводства», «Рынок семеноводства», «Рынок вылова водных биоресурсов», «Рынок переработки водных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биоресурсов», «Рынок товарной </w:t>
      </w:r>
      <w:proofErr w:type="spell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«Рынок добычи общераспространенных полезных ископаемых на участках недр местного значения», «Рынок обработки древесины и производства изделий из дерева», «Рынок производства кирпича», «Рынок производства бетона», «Сфера наружной рекламы» потребители не осведомлены об их присутствии («затруднились ответить»).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Схожая ситуация наблюдается в ответах респондентов по качественным характеристикам товаров и услуг на рынке г. Кинешмы («Уровень цен», «Качество», «Возможность выбора»):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5036"/>
        <w:gridCol w:w="1383"/>
        <w:gridCol w:w="1385"/>
        <w:gridCol w:w="1660"/>
      </w:tblGrid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цен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Возможность выбора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Рынок услуг дошкольного образования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медицинских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социальных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2=4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теплоснабжения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когенерации</w:t>
            </w:r>
            <w:proofErr w:type="spellEnd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.]</w:t>
            </w:r>
            <w:proofErr w:type="gram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пассажиров автобусами в пределах Вашего населенного пункта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пассажиров автобусами за пределы Вашего населенного пункта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Легковое такси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строительства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gramEnd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наружной рекламы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опрошенные оценили ситуацию во всех сферах как «затрудняюсь ответить» (3 бала) или «Скорее не удовлетворительную» (2 балла), вероятно, такая оценка обусловлена кризисными явлениями в экономике и низкими темпами роста доходов населения, что подтверждается ответами на вопрос в пункте 2.6. По ряду сегмента рынка имеются практически единогласные оценки по всем категориям. Удовлетворительную оценку респонденты дали рынку «Рынок услуг среднего профессионального образования», «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пассажиров автобусами за пределы Вашего населенного пункта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услуг связи», «Рынок легкой промышленности»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товаров и услуг, цены на которые в Ивановской области выше, чем в соседних регионах, респондентами выделены следующие (респонденты могли указать несколько категорий в одной анкете):</w:t>
      </w:r>
    </w:p>
    <w:p w:rsidR="00BB3CA8" w:rsidRPr="00BB3CA8" w:rsidRDefault="00BB3CA8" w:rsidP="00BB3C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ЖКХ – 32%</w:t>
      </w:r>
    </w:p>
    <w:p w:rsidR="00BB3CA8" w:rsidRPr="00BB3CA8" w:rsidRDefault="00BB3CA8" w:rsidP="00BB3C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услуги – 30%</w:t>
      </w:r>
    </w:p>
    <w:p w:rsidR="00BB3CA8" w:rsidRPr="00BB3CA8" w:rsidRDefault="00BB3CA8" w:rsidP="00BB3C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тепла -  21% </w:t>
      </w:r>
    </w:p>
    <w:p w:rsidR="00BB3CA8" w:rsidRPr="00BB3CA8" w:rsidRDefault="00BB3CA8" w:rsidP="00BB3C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легкой промышленности и лекарственные препараты – по 7 %.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рынков товаров и услуг, на которых менее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конкуренция респондентами выделены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(респонденты могли указать несколько категорий в одной анкете):</w:t>
      </w:r>
    </w:p>
    <w:p w:rsidR="00BB3CA8" w:rsidRPr="00BB3CA8" w:rsidRDefault="00BB3CA8" w:rsidP="00BB3C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ЖКХ  – 17 %</w:t>
      </w:r>
    </w:p>
    <w:p w:rsidR="00BB3CA8" w:rsidRPr="00BB3CA8" w:rsidRDefault="00BB3CA8" w:rsidP="00BB3C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продукты питания – по 6%</w:t>
      </w:r>
    </w:p>
    <w:p w:rsidR="00BB3CA8" w:rsidRPr="00BB3CA8" w:rsidRDefault="00BB3CA8" w:rsidP="00BB3C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услуги, легкая промышленность, финансовые услуги – по 4 %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4 % затруднились указать какую-либо категорию.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вопрос о том, как изменилось количество организаций, предоставляющих товары и услуги на рынке городского округа Кинешма и региона за последние 3 года, даны следующие оценки: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51"/>
        <w:gridCol w:w="1920"/>
      </w:tblGrid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дошкольного образования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63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медицинских услуг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социальных услуг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63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теплоснабжения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когенерации</w:t>
            </w:r>
            <w:proofErr w:type="spellEnd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.]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пассажиров автобусами в пределах Вашего населенного пункта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пассажиров автобусами за пределы Вашего населенного пункта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Легковое такси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строительства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Рынок </w:t>
            </w:r>
            <w:proofErr w:type="gram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gramEnd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3CA8" w:rsidRPr="00BB3CA8" w:rsidTr="00867E86">
        <w:trPr>
          <w:trHeight w:val="315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наружной рекламы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большинству отраслевых рынков потребители оценивают ситуацию как стабильную («Не изменилось» 3 балла). В свою очередь отмечено, что увеличилось количество организаций предоставляющих медицинские услуги («Увеличилось» 4 балла). Рынкам услуг, которым респонденты затруднились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присвоен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услуг естественных монополий большинством респондентов оценено: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водоснабжению, водоотведению – «удовлетворительно» 65%;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газоснабжения –  «не удовлетворительно» 67%;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электроснабжения – «удовлетворительно» 67%;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теплоснабжения - «удовлетворительно» 65%;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проводной телефонной связи – «затруднились с ответом» 52%;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почтовой связи - «удовлетворительно» 60%.</w:t>
      </w: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характеристик товаров  и услуг за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  на рыке городского округа Кинешма оценено следующим образом: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5036"/>
        <w:gridCol w:w="1383"/>
        <w:gridCol w:w="1385"/>
        <w:gridCol w:w="1660"/>
      </w:tblGrid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цен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Возможность выбора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дошкольного образования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медицинских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социальных услуг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теплоснабжения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когенерации</w:t>
            </w:r>
            <w:proofErr w:type="spellEnd"/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.]</w:t>
            </w:r>
            <w:proofErr w:type="gramEnd"/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пассажиров автобусами в пределах Вашего населенного пункта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Перевозка пассажиров автобусами за пределы Вашего населенного пункта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Легковое такси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услуг связи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строительства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</w:t>
            </w:r>
            <w:proofErr w:type="gram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gramEnd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CA8" w:rsidRPr="00BB3CA8" w:rsidTr="00867E86">
        <w:trPr>
          <w:trHeight w:val="315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наружной рекламы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увеличение цен на услуги: дошкольного образования, детского отдыха и оздоровления,  дополнительного образования детей,   медицины, социальные, розничной торговли лекарственными препаратами, медицинскими изделиями и сопутствующими товарами, теплоснабжения,  выполнения работ по благоустройству городской среды, жилищно-коммунального хозяйства, купли-продажи электрической энергии (мощности) на розничном рынке электрической энергии (мощности), 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 пассажиров автобусами в пределах населенного пункта,  перевозки пассажиров автобусами за пределы населенного пункта, легкового такси</w:t>
      </w:r>
      <w:proofErr w:type="gramEnd"/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строительства, легкой промышленности (4 балла), при том,  что неизменным остался уровень качества.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слабый уровень развития Рынка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архитектурно-строительного проектирования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 племенного животноводства, Рынка семеноводства, Рынка вылова водных биоресурсов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 переработки водных биоресурсов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товарной </w:t>
      </w:r>
      <w:proofErr w:type="spellStart"/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аквакультуры</w:t>
      </w:r>
      <w:proofErr w:type="spell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добычи общераспространенных полезных ископаемых на участках недр местного значения, 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 обработки древесины и производства изделий из дерева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 производства кирпича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 производства бетона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наружной рекламы</w:t>
      </w: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всем категориям респонденты затруднились дать ответ (2 балла).</w:t>
      </w:r>
      <w:proofErr w:type="gramEnd"/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официальной информации о состоянии конкурентной среды в среднем респондентами оценено как скорее неудовлетворительное (3 балла), высокое число ответов даны в категории «Скорее неудовлетворительное», «Неудовлетворительное», «Затрудняюсь ответить». Такая оценка дана по всем категориям «Уровень доступности», «Уровень понятности», «Уровень получения».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Вероятно, такая оценка связана с тем, что информацию об уровне развития конкуренции в основном размещается на специализированных ресурсах органов государственной власти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ориентирована на профессиональный круг пользователей.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влияния на уровень развития конкуренции деятельности предприятий муниципальной формы собственности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необходимого качества и доступности социально-значимых товаров и услуг на рынке городского округа Кинешма, сохраняется присутствие предприятий муниципальной формы собственности на следующих рынках товаров и услуг:</w:t>
      </w:r>
    </w:p>
    <w:p w:rsidR="00BB3CA8" w:rsidRPr="00BB3CA8" w:rsidRDefault="00BB3CA8" w:rsidP="00BB3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коммунальных услуг;</w:t>
      </w:r>
    </w:p>
    <w:p w:rsidR="00BB3CA8" w:rsidRPr="00BB3CA8" w:rsidRDefault="00BB3CA8" w:rsidP="00BB3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жилищным фондом;</w:t>
      </w:r>
    </w:p>
    <w:p w:rsidR="00BB3CA8" w:rsidRPr="00BB3CA8" w:rsidRDefault="00BB3CA8" w:rsidP="00BB3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похорон и связанных с ними услуг;</w:t>
      </w:r>
    </w:p>
    <w:p w:rsidR="00BB3CA8" w:rsidRPr="00BB3CA8" w:rsidRDefault="00BB3CA8" w:rsidP="00BB3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лекарственными препаратами;</w:t>
      </w:r>
    </w:p>
    <w:p w:rsidR="00BB3CA8" w:rsidRPr="00BB3CA8" w:rsidRDefault="00BB3CA8" w:rsidP="00BB3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собственным и арендованным недвижимым имуществом;</w:t>
      </w:r>
    </w:p>
    <w:p w:rsidR="00BB3CA8" w:rsidRPr="00BB3CA8" w:rsidRDefault="00BB3CA8" w:rsidP="00BB3C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и  дошкольное образование;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образовательных услуг, на данных рынка присутствие осуществляется в форме муниципальных унитарных предприятий, рыночная доля предприятий представлена в таблице.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2772"/>
        <w:gridCol w:w="4706"/>
        <w:gridCol w:w="1986"/>
      </w:tblGrid>
      <w:tr w:rsidR="00BB3CA8" w:rsidRPr="00BB3CA8" w:rsidTr="00867E86">
        <w:trPr>
          <w:trHeight w:val="90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предприятия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Отрасль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Рыночная доля, %</w:t>
            </w:r>
          </w:p>
        </w:tc>
      </w:tr>
      <w:tr w:rsidR="00BB3CA8" w:rsidRPr="00BB3CA8" w:rsidTr="00867E86">
        <w:trPr>
          <w:trHeight w:val="30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МУП "</w:t>
            </w:r>
            <w:proofErr w:type="spellStart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ОКиТС</w:t>
            </w:r>
            <w:proofErr w:type="spellEnd"/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Теплоснабжение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75,4</w:t>
            </w:r>
          </w:p>
        </w:tc>
      </w:tr>
      <w:tr w:rsidR="00BB3CA8" w:rsidRPr="00BB3CA8" w:rsidTr="00867E86">
        <w:trPr>
          <w:trHeight w:val="30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МУП "АДС"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жилищным фондом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10,4</w:t>
            </w:r>
          </w:p>
        </w:tc>
      </w:tr>
      <w:tr w:rsidR="00BB3CA8" w:rsidRPr="00BB3CA8" w:rsidTr="00867E86">
        <w:trPr>
          <w:trHeight w:val="30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МУП "Городские кладбища"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похорон и связанных с ними услуг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56,6</w:t>
            </w:r>
          </w:p>
        </w:tc>
      </w:tr>
      <w:tr w:rsidR="00BB3CA8" w:rsidRPr="00BB3CA8" w:rsidTr="00867E86">
        <w:trPr>
          <w:trHeight w:val="30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МУП "МУК"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собственным и арендованным недвижимым имуществом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33,7</w:t>
            </w:r>
          </w:p>
        </w:tc>
      </w:tr>
      <w:tr w:rsidR="00BB3CA8" w:rsidRPr="00BB3CA8" w:rsidTr="00867E86">
        <w:trPr>
          <w:trHeight w:val="30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МУП "Межбольничная аптека"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Розничная торговля лекарственными препаратами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CA8" w:rsidRPr="00BB3CA8" w:rsidRDefault="00BB3CA8" w:rsidP="00B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B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8,9</w:t>
            </w:r>
          </w:p>
        </w:tc>
      </w:tr>
    </w:tbl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приведенных данных следует, что деятельность предприятий муниципальной формы собственности не оказывает негативного влияния на конкурентную среду, за исключением субъектов естественных монополий.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Высокая доля МУП «Городские кладбища» на рынке обусловлена тем, что основная доля конкурентов </w:t>
      </w:r>
      <w:proofErr w:type="gramStart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форме индивидуальных предпринимателей и их выручка не включается</w:t>
      </w:r>
      <w:proofErr w:type="gramEnd"/>
      <w:r w:rsidRPr="00BB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 выручки по отрасли.</w:t>
      </w:r>
    </w:p>
    <w:p w:rsidR="00BB3CA8" w:rsidRPr="00BB3CA8" w:rsidRDefault="00BB3CA8" w:rsidP="00BB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4DD" w:rsidRDefault="000724DD"/>
    <w:sectPr w:rsidR="0007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952"/>
    <w:multiLevelType w:val="multilevel"/>
    <w:tmpl w:val="A4E45846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A054424"/>
    <w:multiLevelType w:val="hybridMultilevel"/>
    <w:tmpl w:val="C1A468BA"/>
    <w:lvl w:ilvl="0" w:tplc="E862A1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D7116"/>
    <w:multiLevelType w:val="hybridMultilevel"/>
    <w:tmpl w:val="6B9CAA22"/>
    <w:lvl w:ilvl="0" w:tplc="E862A1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F5"/>
    <w:rsid w:val="000724DD"/>
    <w:rsid w:val="001B76CA"/>
    <w:rsid w:val="00BB3CA8"/>
    <w:rsid w:val="00D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3CA8"/>
  </w:style>
  <w:style w:type="paragraph" w:styleId="a3">
    <w:name w:val="List Paragraph"/>
    <w:basedOn w:val="a"/>
    <w:uiPriority w:val="34"/>
    <w:qFormat/>
    <w:rsid w:val="00BB3CA8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rsid w:val="00BB3C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B3C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3CA8"/>
  </w:style>
  <w:style w:type="paragraph" w:styleId="a3">
    <w:name w:val="List Paragraph"/>
    <w:basedOn w:val="a"/>
    <w:uiPriority w:val="34"/>
    <w:qFormat/>
    <w:rsid w:val="00BB3CA8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rsid w:val="00BB3C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B3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3639</Words>
  <Characters>20743</Characters>
  <Application>Microsoft Office Word</Application>
  <DocSecurity>0</DocSecurity>
  <Lines>172</Lines>
  <Paragraphs>48</Paragraphs>
  <ScaleCrop>false</ScaleCrop>
  <Company>Администрация го Кинешма</Company>
  <LinksUpToDate>false</LinksUpToDate>
  <CharactersWithSpaces>24334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Жемчугова</dc:creator>
  <cp:keywords/>
  <dc:description/>
  <cp:lastModifiedBy>Светлана Юрьевна Жемчугова</cp:lastModifiedBy>
  <cp:revision>3</cp:revision>
  <dcterms:created xsi:type="dcterms:W3CDTF">2020-01-30T07:13:00Z</dcterms:created>
  <dcterms:modified xsi:type="dcterms:W3CDTF">2020-01-30T08:05:00Z</dcterms:modified>
</cp:coreProperties>
</file>